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8B0E8" w14:textId="77777777" w:rsidR="00010FA3" w:rsidRPr="00010D20" w:rsidRDefault="00010FA3" w:rsidP="00010FA3">
      <w:pPr>
        <w:pStyle w:val="PlainText"/>
        <w:rPr>
          <w:rFonts w:cs="Arial"/>
          <w:b/>
          <w:szCs w:val="22"/>
        </w:rPr>
      </w:pPr>
    </w:p>
    <w:p w14:paraId="6DE794B6" w14:textId="77777777" w:rsidR="0023228A" w:rsidRPr="0023228A" w:rsidRDefault="00C66B1B" w:rsidP="00010FA3">
      <w:pPr>
        <w:pStyle w:val="PlainText"/>
        <w:rPr>
          <w:rFonts w:cs="Arial"/>
          <w:b/>
          <w:sz w:val="28"/>
          <w:szCs w:val="28"/>
        </w:rPr>
      </w:pPr>
      <w:r>
        <w:rPr>
          <w:rFonts w:cs="Arial"/>
          <w:b/>
          <w:sz w:val="28"/>
          <w:szCs w:val="28"/>
        </w:rPr>
        <w:t xml:space="preserve">Board Policy Priorities for </w:t>
      </w:r>
      <w:r w:rsidR="0098632F">
        <w:rPr>
          <w:rFonts w:cs="Arial"/>
          <w:b/>
          <w:sz w:val="28"/>
          <w:szCs w:val="28"/>
        </w:rPr>
        <w:t>2016-17</w:t>
      </w:r>
    </w:p>
    <w:p w14:paraId="6841018D" w14:textId="77777777" w:rsidR="0023228A" w:rsidRDefault="0023228A" w:rsidP="00010FA3">
      <w:pPr>
        <w:pStyle w:val="PlainText"/>
        <w:rPr>
          <w:rFonts w:cs="Arial"/>
          <w:b/>
          <w:szCs w:val="22"/>
        </w:rPr>
      </w:pPr>
    </w:p>
    <w:p w14:paraId="20E56CBE" w14:textId="77777777" w:rsidR="00534B51" w:rsidRDefault="00534B51" w:rsidP="00534B51">
      <w:pPr>
        <w:rPr>
          <w:rFonts w:ascii="Arial" w:hAnsi="Arial" w:cs="Arial"/>
          <w:b/>
          <w:sz w:val="22"/>
          <w:szCs w:val="22"/>
        </w:rPr>
      </w:pPr>
    </w:p>
    <w:p w14:paraId="1C898BCB" w14:textId="77777777" w:rsidR="00D03AF4" w:rsidRPr="00534B51" w:rsidRDefault="00D03AF4" w:rsidP="00534B51">
      <w:pPr>
        <w:rPr>
          <w:rFonts w:ascii="Arial" w:hAnsi="Arial" w:cs="Arial"/>
          <w:b/>
          <w:sz w:val="22"/>
          <w:szCs w:val="22"/>
        </w:rPr>
      </w:pPr>
    </w:p>
    <w:p w14:paraId="63C4AB42" w14:textId="77777777" w:rsidR="00534B51" w:rsidRPr="00534B51" w:rsidRDefault="00534B51" w:rsidP="00534B51">
      <w:pPr>
        <w:rPr>
          <w:rFonts w:ascii="Arial" w:hAnsi="Arial" w:cs="Arial"/>
          <w:b/>
          <w:sz w:val="22"/>
          <w:szCs w:val="22"/>
        </w:rPr>
      </w:pPr>
      <w:r w:rsidRPr="00534B51">
        <w:rPr>
          <w:rFonts w:ascii="Arial" w:hAnsi="Arial" w:cs="Arial"/>
          <w:b/>
          <w:sz w:val="22"/>
          <w:szCs w:val="22"/>
        </w:rPr>
        <w:t>Purpose of report</w:t>
      </w:r>
    </w:p>
    <w:p w14:paraId="0AEAEBE1" w14:textId="77777777" w:rsidR="00534B51" w:rsidRPr="00534B51" w:rsidRDefault="00534B51" w:rsidP="00534B51">
      <w:pPr>
        <w:rPr>
          <w:rFonts w:ascii="Arial" w:hAnsi="Arial" w:cs="Arial"/>
          <w:b/>
          <w:sz w:val="22"/>
          <w:szCs w:val="22"/>
        </w:rPr>
      </w:pPr>
    </w:p>
    <w:p w14:paraId="7167D59A" w14:textId="77777777" w:rsidR="00534B51" w:rsidRPr="00534B51" w:rsidRDefault="009C096E" w:rsidP="00534B51">
      <w:pPr>
        <w:rPr>
          <w:rFonts w:ascii="Arial" w:hAnsi="Arial" w:cs="Arial"/>
          <w:sz w:val="22"/>
          <w:szCs w:val="22"/>
        </w:rPr>
      </w:pPr>
      <w:r>
        <w:rPr>
          <w:rFonts w:ascii="Arial" w:hAnsi="Arial" w:cs="Arial"/>
          <w:sz w:val="22"/>
          <w:szCs w:val="22"/>
        </w:rPr>
        <w:t xml:space="preserve">For discussion and </w:t>
      </w:r>
      <w:r w:rsidR="00C53920">
        <w:rPr>
          <w:rFonts w:ascii="Arial" w:hAnsi="Arial" w:cs="Arial"/>
          <w:sz w:val="22"/>
          <w:szCs w:val="22"/>
        </w:rPr>
        <w:t xml:space="preserve">decision. </w:t>
      </w:r>
    </w:p>
    <w:p w14:paraId="377A5DFF" w14:textId="77777777" w:rsidR="00D03AF4" w:rsidRDefault="00D03AF4" w:rsidP="00534B51">
      <w:pPr>
        <w:rPr>
          <w:rFonts w:ascii="Arial" w:hAnsi="Arial" w:cs="Arial"/>
          <w:b/>
          <w:sz w:val="22"/>
          <w:szCs w:val="22"/>
        </w:rPr>
      </w:pPr>
    </w:p>
    <w:p w14:paraId="6C74CC96" w14:textId="77777777" w:rsidR="00386F1E" w:rsidRPr="00534B51" w:rsidRDefault="00386F1E" w:rsidP="00534B51">
      <w:pPr>
        <w:rPr>
          <w:rFonts w:ascii="Arial" w:hAnsi="Arial" w:cs="Arial"/>
          <w:b/>
          <w:sz w:val="22"/>
          <w:szCs w:val="22"/>
        </w:rPr>
      </w:pPr>
    </w:p>
    <w:p w14:paraId="57D9853C" w14:textId="77777777" w:rsidR="00534B51" w:rsidRPr="00534B51" w:rsidRDefault="00534B51" w:rsidP="00534B51">
      <w:pPr>
        <w:rPr>
          <w:rFonts w:ascii="Arial" w:hAnsi="Arial" w:cs="Arial"/>
          <w:b/>
          <w:sz w:val="22"/>
          <w:szCs w:val="22"/>
        </w:rPr>
      </w:pPr>
      <w:r w:rsidRPr="00534B51">
        <w:rPr>
          <w:rFonts w:ascii="Arial" w:hAnsi="Arial" w:cs="Arial"/>
          <w:b/>
          <w:sz w:val="22"/>
          <w:szCs w:val="22"/>
        </w:rPr>
        <w:t>Summary</w:t>
      </w:r>
    </w:p>
    <w:p w14:paraId="4ED93A9E" w14:textId="77777777" w:rsidR="00534B51" w:rsidRDefault="00534B51" w:rsidP="00534B51">
      <w:pPr>
        <w:rPr>
          <w:rFonts w:ascii="Arial" w:hAnsi="Arial" w:cs="Arial"/>
          <w:b/>
          <w:sz w:val="22"/>
          <w:szCs w:val="22"/>
        </w:rPr>
      </w:pPr>
    </w:p>
    <w:p w14:paraId="7EAAA7D8" w14:textId="4B80052D" w:rsidR="0006436E" w:rsidRDefault="0006436E" w:rsidP="00617493">
      <w:pPr>
        <w:pStyle w:val="PlainText"/>
        <w:rPr>
          <w:rFonts w:cs="Arial"/>
          <w:szCs w:val="22"/>
        </w:rPr>
      </w:pPr>
      <w:r>
        <w:rPr>
          <w:rFonts w:cs="Arial"/>
          <w:szCs w:val="22"/>
        </w:rPr>
        <w:t xml:space="preserve">This paper </w:t>
      </w:r>
      <w:r w:rsidR="00C53920">
        <w:rPr>
          <w:rFonts w:cs="Arial"/>
          <w:szCs w:val="22"/>
        </w:rPr>
        <w:t xml:space="preserve">sets out proposals for the Safer and Stronger Communities Board’s </w:t>
      </w:r>
      <w:r w:rsidR="00C55B8D">
        <w:rPr>
          <w:rFonts w:cs="Arial"/>
          <w:szCs w:val="22"/>
        </w:rPr>
        <w:t xml:space="preserve">(SSCB) </w:t>
      </w:r>
      <w:r w:rsidR="00C53920">
        <w:rPr>
          <w:rFonts w:cs="Arial"/>
          <w:szCs w:val="22"/>
        </w:rPr>
        <w:t xml:space="preserve">priorities </w:t>
      </w:r>
      <w:r w:rsidR="001E5D67">
        <w:rPr>
          <w:rFonts w:cs="Arial"/>
          <w:szCs w:val="22"/>
        </w:rPr>
        <w:t xml:space="preserve">and work </w:t>
      </w:r>
      <w:r w:rsidR="0098632F">
        <w:rPr>
          <w:rFonts w:cs="Arial"/>
          <w:szCs w:val="22"/>
        </w:rPr>
        <w:t>programme for 2016-</w:t>
      </w:r>
      <w:r w:rsidR="00020591">
        <w:rPr>
          <w:rFonts w:cs="Arial"/>
          <w:szCs w:val="22"/>
        </w:rPr>
        <w:t>1</w:t>
      </w:r>
      <w:r w:rsidR="0098632F">
        <w:rPr>
          <w:rFonts w:cs="Arial"/>
          <w:szCs w:val="22"/>
        </w:rPr>
        <w:t>7</w:t>
      </w:r>
      <w:r>
        <w:rPr>
          <w:rFonts w:cs="Arial"/>
          <w:szCs w:val="22"/>
        </w:rPr>
        <w:t xml:space="preserve">.  </w:t>
      </w:r>
    </w:p>
    <w:p w14:paraId="73F6119C" w14:textId="77777777" w:rsidR="0006436E" w:rsidRDefault="0006436E" w:rsidP="00617493">
      <w:pPr>
        <w:pStyle w:val="PlainText"/>
        <w:rPr>
          <w:rFonts w:cs="Arial"/>
          <w:szCs w:val="22"/>
        </w:rPr>
      </w:pPr>
    </w:p>
    <w:p w14:paraId="420E8F86" w14:textId="7B3D0478" w:rsidR="00695B0F" w:rsidRDefault="006D1033" w:rsidP="00617493">
      <w:pPr>
        <w:pStyle w:val="PlainText"/>
        <w:rPr>
          <w:rFonts w:cs="Arial"/>
          <w:szCs w:val="22"/>
        </w:rPr>
      </w:pPr>
      <w:r>
        <w:rPr>
          <w:rFonts w:cs="Arial"/>
          <w:szCs w:val="22"/>
        </w:rPr>
        <w:t xml:space="preserve">It outlines </w:t>
      </w:r>
      <w:r w:rsidR="00147DBE">
        <w:rPr>
          <w:rFonts w:cs="Arial"/>
          <w:szCs w:val="22"/>
        </w:rPr>
        <w:t xml:space="preserve">how the LGA-wide priority on responding to the Brexit vote </w:t>
      </w:r>
      <w:r w:rsidR="00DE095E">
        <w:rPr>
          <w:rFonts w:cs="Arial"/>
          <w:szCs w:val="22"/>
        </w:rPr>
        <w:t>will</w:t>
      </w:r>
      <w:r w:rsidR="00147DBE">
        <w:rPr>
          <w:rFonts w:cs="Arial"/>
          <w:szCs w:val="22"/>
        </w:rPr>
        <w:t xml:space="preserve"> impact the work of the SSCB, as well as </w:t>
      </w:r>
      <w:r w:rsidR="001E5D67">
        <w:rPr>
          <w:rFonts w:cs="Arial"/>
          <w:szCs w:val="22"/>
        </w:rPr>
        <w:t xml:space="preserve">options for </w:t>
      </w:r>
      <w:r w:rsidR="00E31E52">
        <w:rPr>
          <w:rFonts w:cs="Arial"/>
          <w:szCs w:val="22"/>
        </w:rPr>
        <w:t xml:space="preserve">broader work </w:t>
      </w:r>
      <w:r w:rsidR="001E5D67">
        <w:rPr>
          <w:rFonts w:cs="Arial"/>
          <w:szCs w:val="22"/>
        </w:rPr>
        <w:t xml:space="preserve">priorities based on </w:t>
      </w:r>
      <w:r w:rsidR="00DE095E">
        <w:rPr>
          <w:rFonts w:cs="Arial"/>
          <w:szCs w:val="22"/>
        </w:rPr>
        <w:t xml:space="preserve">a combination of </w:t>
      </w:r>
      <w:r w:rsidR="00147DBE">
        <w:rPr>
          <w:rFonts w:cs="Arial"/>
          <w:szCs w:val="22"/>
        </w:rPr>
        <w:t xml:space="preserve">areas of interest previously indicated by Board members, </w:t>
      </w:r>
      <w:r w:rsidR="005403B4">
        <w:rPr>
          <w:rFonts w:cs="Arial"/>
          <w:szCs w:val="22"/>
        </w:rPr>
        <w:t xml:space="preserve">ongoing work, </w:t>
      </w:r>
      <w:r w:rsidR="001E5D67">
        <w:rPr>
          <w:rFonts w:cs="Arial"/>
          <w:szCs w:val="22"/>
        </w:rPr>
        <w:t xml:space="preserve">and </w:t>
      </w:r>
      <w:r w:rsidR="005403B4">
        <w:rPr>
          <w:rFonts w:cs="Arial"/>
          <w:szCs w:val="22"/>
        </w:rPr>
        <w:t>recent policy announcements by government</w:t>
      </w:r>
      <w:r w:rsidR="00695B0F">
        <w:rPr>
          <w:rFonts w:cs="Arial"/>
          <w:szCs w:val="22"/>
        </w:rPr>
        <w:t>.</w:t>
      </w:r>
      <w:r w:rsidR="00503657">
        <w:rPr>
          <w:rFonts w:cs="Arial"/>
          <w:szCs w:val="22"/>
        </w:rPr>
        <w:t xml:space="preserve"> Subject to m</w:t>
      </w:r>
      <w:r w:rsidR="00C53920">
        <w:rPr>
          <w:rFonts w:cs="Arial"/>
          <w:szCs w:val="22"/>
        </w:rPr>
        <w:t xml:space="preserve">embers’ views, officers will develop a work programme to deliver these priorities. </w:t>
      </w:r>
    </w:p>
    <w:p w14:paraId="43A4D947" w14:textId="77777777" w:rsidR="00534B51" w:rsidRPr="00534B51" w:rsidRDefault="00534B51" w:rsidP="00617493">
      <w:pPr>
        <w:rPr>
          <w:rFonts w:ascii="Arial" w:hAnsi="Arial" w:cs="Arial"/>
          <w:b/>
          <w:sz w:val="22"/>
          <w:szCs w:val="22"/>
          <w:u w:val="single"/>
        </w:rPr>
      </w:pPr>
    </w:p>
    <w:tbl>
      <w:tblPr>
        <w:tblW w:w="9156"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6"/>
      </w:tblGrid>
      <w:tr w:rsidR="00534B51" w:rsidRPr="00534B51" w14:paraId="40F606DC" w14:textId="77777777" w:rsidTr="00534B51">
        <w:tc>
          <w:tcPr>
            <w:tcW w:w="9157" w:type="dxa"/>
            <w:tcBorders>
              <w:top w:val="single" w:sz="4" w:space="0" w:color="auto"/>
              <w:left w:val="single" w:sz="4" w:space="0" w:color="auto"/>
              <w:bottom w:val="single" w:sz="4" w:space="0" w:color="auto"/>
              <w:right w:val="single" w:sz="4" w:space="0" w:color="auto"/>
            </w:tcBorders>
          </w:tcPr>
          <w:p w14:paraId="26304B37" w14:textId="77777777" w:rsidR="00534B51" w:rsidRPr="00534B51" w:rsidRDefault="00534B51">
            <w:pPr>
              <w:rPr>
                <w:rFonts w:ascii="Arial" w:hAnsi="Arial" w:cs="Arial"/>
                <w:sz w:val="22"/>
                <w:szCs w:val="22"/>
              </w:rPr>
            </w:pPr>
          </w:p>
          <w:p w14:paraId="25C24F54" w14:textId="77777777" w:rsidR="00534B51" w:rsidRPr="00534B51" w:rsidRDefault="00534B51">
            <w:pPr>
              <w:rPr>
                <w:rFonts w:ascii="Arial" w:hAnsi="Arial" w:cs="Arial"/>
                <w:b/>
                <w:sz w:val="22"/>
                <w:szCs w:val="22"/>
              </w:rPr>
            </w:pPr>
            <w:r w:rsidRPr="00534B51">
              <w:rPr>
                <w:rFonts w:ascii="Arial" w:hAnsi="Arial" w:cs="Arial"/>
                <w:b/>
                <w:sz w:val="22"/>
                <w:szCs w:val="22"/>
              </w:rPr>
              <w:t>Recommendation</w:t>
            </w:r>
          </w:p>
          <w:p w14:paraId="2A6A14E5" w14:textId="77777777" w:rsidR="00617493" w:rsidRDefault="00617493">
            <w:pPr>
              <w:rPr>
                <w:rFonts w:ascii="Arial" w:hAnsi="Arial" w:cs="Arial"/>
                <w:sz w:val="22"/>
                <w:szCs w:val="22"/>
              </w:rPr>
            </w:pPr>
          </w:p>
          <w:p w14:paraId="42B064B1" w14:textId="2CEDCA4E" w:rsidR="005403B4" w:rsidRDefault="00C55B8D">
            <w:pPr>
              <w:rPr>
                <w:rFonts w:ascii="Arial" w:hAnsi="Arial" w:cs="Arial"/>
                <w:sz w:val="22"/>
                <w:szCs w:val="22"/>
              </w:rPr>
            </w:pPr>
            <w:r>
              <w:rPr>
                <w:rFonts w:ascii="Arial" w:hAnsi="Arial" w:cs="Arial"/>
                <w:sz w:val="22"/>
                <w:szCs w:val="22"/>
              </w:rPr>
              <w:t xml:space="preserve">That the </w:t>
            </w:r>
            <w:r w:rsidR="00280980">
              <w:rPr>
                <w:rFonts w:ascii="Arial" w:hAnsi="Arial" w:cs="Arial"/>
                <w:sz w:val="22"/>
                <w:szCs w:val="22"/>
              </w:rPr>
              <w:t xml:space="preserve">SSCB </w:t>
            </w:r>
            <w:bookmarkStart w:id="0" w:name="_GoBack"/>
            <w:bookmarkEnd w:id="0"/>
            <w:r w:rsidR="00503657">
              <w:rPr>
                <w:rFonts w:ascii="Arial" w:hAnsi="Arial" w:cs="Arial"/>
                <w:sz w:val="22"/>
                <w:szCs w:val="22"/>
              </w:rPr>
              <w:t>discuss and agree the Board’s priori</w:t>
            </w:r>
            <w:r w:rsidR="00147DBE">
              <w:rPr>
                <w:rFonts w:ascii="Arial" w:hAnsi="Arial" w:cs="Arial"/>
                <w:sz w:val="22"/>
                <w:szCs w:val="22"/>
              </w:rPr>
              <w:t>ties and work programme for 2016-17</w:t>
            </w:r>
            <w:r w:rsidR="00503657">
              <w:rPr>
                <w:rFonts w:ascii="Arial" w:hAnsi="Arial" w:cs="Arial"/>
                <w:sz w:val="22"/>
                <w:szCs w:val="22"/>
              </w:rPr>
              <w:t xml:space="preserve">. </w:t>
            </w:r>
          </w:p>
          <w:p w14:paraId="0413A96E" w14:textId="77777777" w:rsidR="00617493" w:rsidRPr="00534B51" w:rsidRDefault="00617493">
            <w:pPr>
              <w:rPr>
                <w:rFonts w:ascii="Arial" w:hAnsi="Arial" w:cs="Arial"/>
                <w:sz w:val="22"/>
                <w:szCs w:val="22"/>
              </w:rPr>
            </w:pPr>
          </w:p>
          <w:p w14:paraId="01578D3F" w14:textId="77777777" w:rsidR="00534B51" w:rsidRPr="00534B51" w:rsidRDefault="00534B51">
            <w:pPr>
              <w:rPr>
                <w:rFonts w:ascii="Arial" w:hAnsi="Arial" w:cs="Arial"/>
                <w:b/>
                <w:sz w:val="22"/>
                <w:szCs w:val="22"/>
              </w:rPr>
            </w:pPr>
            <w:r w:rsidRPr="00534B51">
              <w:rPr>
                <w:rFonts w:ascii="Arial" w:hAnsi="Arial" w:cs="Arial"/>
                <w:b/>
                <w:sz w:val="22"/>
                <w:szCs w:val="22"/>
              </w:rPr>
              <w:t>Action</w:t>
            </w:r>
          </w:p>
          <w:p w14:paraId="16D26AC7" w14:textId="77777777" w:rsidR="00534B51" w:rsidRPr="00534B51" w:rsidRDefault="00534B51">
            <w:pPr>
              <w:rPr>
                <w:rFonts w:ascii="Arial" w:hAnsi="Arial" w:cs="Arial"/>
                <w:b/>
                <w:sz w:val="22"/>
                <w:szCs w:val="22"/>
              </w:rPr>
            </w:pPr>
          </w:p>
          <w:p w14:paraId="21571350" w14:textId="77777777" w:rsidR="00534B51" w:rsidRPr="00534B51" w:rsidRDefault="00534B51">
            <w:pPr>
              <w:rPr>
                <w:rFonts w:ascii="Arial" w:hAnsi="Arial" w:cs="Arial"/>
                <w:sz w:val="22"/>
                <w:szCs w:val="22"/>
              </w:rPr>
            </w:pPr>
            <w:r w:rsidRPr="00534B51">
              <w:rPr>
                <w:rFonts w:ascii="Arial" w:hAnsi="Arial" w:cs="Arial"/>
                <w:sz w:val="22"/>
                <w:szCs w:val="22"/>
              </w:rPr>
              <w:t xml:space="preserve">Officers </w:t>
            </w:r>
            <w:r w:rsidR="005403B4">
              <w:rPr>
                <w:rFonts w:ascii="Arial" w:hAnsi="Arial" w:cs="Arial"/>
                <w:sz w:val="22"/>
                <w:szCs w:val="22"/>
              </w:rPr>
              <w:t xml:space="preserve">will undertake the projects set out in the report. </w:t>
            </w:r>
          </w:p>
          <w:p w14:paraId="248C99D3" w14:textId="77777777" w:rsidR="00534B51" w:rsidRPr="00534B51" w:rsidRDefault="00534B51">
            <w:pPr>
              <w:rPr>
                <w:rFonts w:ascii="Arial" w:hAnsi="Arial" w:cs="Arial"/>
                <w:sz w:val="22"/>
                <w:szCs w:val="22"/>
              </w:rPr>
            </w:pPr>
          </w:p>
        </w:tc>
      </w:tr>
    </w:tbl>
    <w:p w14:paraId="397207E4" w14:textId="77777777" w:rsidR="00534B51" w:rsidRPr="00534B51" w:rsidRDefault="00534B51" w:rsidP="00534B51">
      <w:pPr>
        <w:rPr>
          <w:rFonts w:ascii="Arial" w:hAnsi="Arial" w:cs="Arial"/>
          <w:sz w:val="22"/>
          <w:szCs w:val="22"/>
        </w:rPr>
      </w:pPr>
    </w:p>
    <w:p w14:paraId="66A58F71" w14:textId="77777777" w:rsidR="00534B51" w:rsidRPr="00534B51" w:rsidRDefault="00534B51" w:rsidP="00534B51">
      <w:pPr>
        <w:rPr>
          <w:rFonts w:ascii="Arial" w:hAnsi="Arial" w:cs="Arial"/>
          <w:sz w:val="22"/>
          <w:szCs w:val="22"/>
        </w:rPr>
      </w:pPr>
    </w:p>
    <w:p w14:paraId="787CC52E" w14:textId="77777777" w:rsidR="00534B51" w:rsidRDefault="00534B51" w:rsidP="00010FA3">
      <w:pPr>
        <w:pStyle w:val="PlainText"/>
        <w:rPr>
          <w:rFonts w:cs="Arial"/>
          <w:b/>
          <w:szCs w:val="22"/>
        </w:rPr>
      </w:pPr>
    </w:p>
    <w:tbl>
      <w:tblPr>
        <w:tblW w:w="0" w:type="auto"/>
        <w:tblLook w:val="01E0" w:firstRow="1" w:lastRow="1" w:firstColumn="1" w:lastColumn="1" w:noHBand="0" w:noVBand="0"/>
      </w:tblPr>
      <w:tblGrid>
        <w:gridCol w:w="2508"/>
        <w:gridCol w:w="5798"/>
      </w:tblGrid>
      <w:tr w:rsidR="00534B51" w:rsidRPr="00534B51" w14:paraId="494F9FF0" w14:textId="77777777" w:rsidTr="0006436E">
        <w:tc>
          <w:tcPr>
            <w:tcW w:w="2575" w:type="dxa"/>
            <w:hideMark/>
          </w:tcPr>
          <w:p w14:paraId="65A55B76"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 xml:space="preserve">Contact officer:  </w:t>
            </w:r>
          </w:p>
        </w:tc>
        <w:tc>
          <w:tcPr>
            <w:tcW w:w="5953" w:type="dxa"/>
          </w:tcPr>
          <w:p w14:paraId="13B2B17C" w14:textId="77777777" w:rsidR="00534B51" w:rsidRPr="00534B51" w:rsidRDefault="00C53920">
            <w:pPr>
              <w:spacing w:before="60" w:after="60"/>
              <w:rPr>
                <w:rFonts w:ascii="Arial" w:hAnsi="Arial" w:cs="Arial"/>
                <w:sz w:val="22"/>
                <w:szCs w:val="22"/>
              </w:rPr>
            </w:pPr>
            <w:r>
              <w:rPr>
                <w:rFonts w:ascii="Arial" w:hAnsi="Arial" w:cs="Arial"/>
                <w:sz w:val="22"/>
                <w:szCs w:val="22"/>
              </w:rPr>
              <w:t>Mark Norris</w:t>
            </w:r>
          </w:p>
        </w:tc>
      </w:tr>
      <w:tr w:rsidR="00534B51" w:rsidRPr="00534B51" w14:paraId="416D6367" w14:textId="77777777" w:rsidTr="0006436E">
        <w:tc>
          <w:tcPr>
            <w:tcW w:w="2575" w:type="dxa"/>
            <w:hideMark/>
          </w:tcPr>
          <w:p w14:paraId="0EB79561"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Position:</w:t>
            </w:r>
          </w:p>
        </w:tc>
        <w:tc>
          <w:tcPr>
            <w:tcW w:w="5953" w:type="dxa"/>
          </w:tcPr>
          <w:p w14:paraId="33EA5FE3" w14:textId="77777777" w:rsidR="00534B51" w:rsidRPr="00534B51" w:rsidRDefault="00C53920">
            <w:pPr>
              <w:spacing w:before="60" w:after="60"/>
              <w:rPr>
                <w:rFonts w:ascii="Arial" w:hAnsi="Arial" w:cs="Arial"/>
                <w:sz w:val="22"/>
                <w:szCs w:val="22"/>
              </w:rPr>
            </w:pPr>
            <w:r>
              <w:rPr>
                <w:rFonts w:ascii="Arial" w:hAnsi="Arial" w:cs="Arial"/>
                <w:sz w:val="22"/>
                <w:szCs w:val="22"/>
              </w:rPr>
              <w:t>Principal Policy Adviser</w:t>
            </w:r>
          </w:p>
        </w:tc>
      </w:tr>
      <w:tr w:rsidR="00534B51" w:rsidRPr="00534B51" w14:paraId="48F7D7CD" w14:textId="77777777" w:rsidTr="0006436E">
        <w:tc>
          <w:tcPr>
            <w:tcW w:w="2575" w:type="dxa"/>
            <w:hideMark/>
          </w:tcPr>
          <w:p w14:paraId="1C8B3B64"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Phone no:</w:t>
            </w:r>
          </w:p>
        </w:tc>
        <w:tc>
          <w:tcPr>
            <w:tcW w:w="5953" w:type="dxa"/>
          </w:tcPr>
          <w:p w14:paraId="24721E0E" w14:textId="77777777" w:rsidR="00534B51" w:rsidRPr="00534B51" w:rsidRDefault="00C53920">
            <w:pPr>
              <w:spacing w:before="60" w:after="60"/>
              <w:rPr>
                <w:rFonts w:ascii="Arial" w:hAnsi="Arial" w:cs="Arial"/>
                <w:sz w:val="22"/>
                <w:szCs w:val="22"/>
              </w:rPr>
            </w:pPr>
            <w:r>
              <w:rPr>
                <w:rFonts w:ascii="Arial" w:hAnsi="Arial" w:cs="Arial"/>
                <w:sz w:val="22"/>
                <w:szCs w:val="22"/>
              </w:rPr>
              <w:t>020 7664 3241</w:t>
            </w:r>
          </w:p>
        </w:tc>
      </w:tr>
      <w:tr w:rsidR="00534B51" w:rsidRPr="00534B51" w14:paraId="1A5BED31" w14:textId="77777777" w:rsidTr="0006436E">
        <w:tc>
          <w:tcPr>
            <w:tcW w:w="2575" w:type="dxa"/>
            <w:hideMark/>
          </w:tcPr>
          <w:p w14:paraId="671EAFB5" w14:textId="77777777" w:rsidR="00534B51" w:rsidRPr="00534B51" w:rsidRDefault="00534B51">
            <w:pPr>
              <w:spacing w:before="60" w:after="60"/>
              <w:rPr>
                <w:rFonts w:ascii="Arial" w:hAnsi="Arial" w:cs="Arial"/>
                <w:b/>
                <w:sz w:val="22"/>
                <w:szCs w:val="22"/>
              </w:rPr>
            </w:pPr>
            <w:r w:rsidRPr="00534B51">
              <w:rPr>
                <w:rFonts w:ascii="Arial" w:hAnsi="Arial" w:cs="Arial"/>
                <w:b/>
                <w:sz w:val="22"/>
                <w:szCs w:val="22"/>
              </w:rPr>
              <w:t>E-mail:</w:t>
            </w:r>
          </w:p>
        </w:tc>
        <w:tc>
          <w:tcPr>
            <w:tcW w:w="5953" w:type="dxa"/>
          </w:tcPr>
          <w:p w14:paraId="1F47A399" w14:textId="77777777" w:rsidR="00534B51" w:rsidRPr="00534B51" w:rsidRDefault="00280980" w:rsidP="00534B51">
            <w:pPr>
              <w:spacing w:before="60" w:after="60"/>
              <w:rPr>
                <w:rFonts w:ascii="Arial" w:hAnsi="Arial" w:cs="Arial"/>
                <w:sz w:val="22"/>
                <w:szCs w:val="22"/>
              </w:rPr>
            </w:pPr>
            <w:hyperlink r:id="rId11" w:history="1">
              <w:r w:rsidR="00C53920" w:rsidRPr="00F268E6">
                <w:rPr>
                  <w:rStyle w:val="Hyperlink"/>
                  <w:rFonts w:ascii="Arial" w:hAnsi="Arial" w:cs="Arial"/>
                  <w:sz w:val="22"/>
                  <w:szCs w:val="22"/>
                </w:rPr>
                <w:t>mark.norris@local.gov.uk</w:t>
              </w:r>
            </w:hyperlink>
            <w:r w:rsidR="00C53920">
              <w:rPr>
                <w:rFonts w:ascii="Arial" w:hAnsi="Arial" w:cs="Arial"/>
                <w:sz w:val="22"/>
                <w:szCs w:val="22"/>
              </w:rPr>
              <w:t xml:space="preserve"> </w:t>
            </w:r>
          </w:p>
        </w:tc>
      </w:tr>
    </w:tbl>
    <w:p w14:paraId="53A724A6" w14:textId="77777777" w:rsidR="00534B51" w:rsidRPr="00534B51" w:rsidRDefault="00534B51" w:rsidP="00534B51">
      <w:pPr>
        <w:jc w:val="center"/>
        <w:rPr>
          <w:rFonts w:ascii="Arial" w:hAnsi="Arial" w:cs="Arial"/>
          <w:b/>
          <w:sz w:val="22"/>
          <w:szCs w:val="22"/>
          <w:u w:val="single"/>
        </w:rPr>
      </w:pPr>
    </w:p>
    <w:p w14:paraId="4E35E8D1" w14:textId="77777777" w:rsidR="00534B51" w:rsidRPr="00534B51" w:rsidRDefault="00534B51" w:rsidP="00534B51">
      <w:pPr>
        <w:rPr>
          <w:rFonts w:ascii="Arial" w:hAnsi="Arial" w:cs="Arial"/>
          <w:b/>
          <w:sz w:val="22"/>
          <w:szCs w:val="22"/>
        </w:rPr>
      </w:pPr>
    </w:p>
    <w:p w14:paraId="05318514" w14:textId="77777777" w:rsidR="00534B51" w:rsidRPr="00534B51" w:rsidRDefault="00534B51" w:rsidP="00534B51">
      <w:pPr>
        <w:pStyle w:val="PlainText"/>
        <w:rPr>
          <w:rFonts w:cs="Arial"/>
          <w:b/>
          <w:szCs w:val="22"/>
        </w:rPr>
      </w:pPr>
      <w:r w:rsidRPr="00534B51">
        <w:rPr>
          <w:rFonts w:cs="Arial"/>
          <w:b/>
          <w:szCs w:val="22"/>
        </w:rPr>
        <w:br w:type="page"/>
      </w:r>
    </w:p>
    <w:p w14:paraId="6BDD4EAC" w14:textId="77777777" w:rsidR="00CE0F02" w:rsidRPr="0023228A" w:rsidRDefault="00CE0F02" w:rsidP="00CE0F02">
      <w:pPr>
        <w:pStyle w:val="PlainText"/>
        <w:rPr>
          <w:rFonts w:cs="Arial"/>
          <w:b/>
          <w:sz w:val="28"/>
          <w:szCs w:val="28"/>
        </w:rPr>
      </w:pPr>
      <w:r w:rsidRPr="00695B0F">
        <w:rPr>
          <w:rFonts w:cs="Arial"/>
          <w:b/>
          <w:sz w:val="28"/>
          <w:szCs w:val="28"/>
        </w:rPr>
        <w:lastRenderedPageBreak/>
        <w:t>Board Policy Priorities for 201</w:t>
      </w:r>
      <w:r>
        <w:rPr>
          <w:rFonts w:cs="Arial"/>
          <w:b/>
          <w:sz w:val="28"/>
          <w:szCs w:val="28"/>
        </w:rPr>
        <w:t>6</w:t>
      </w:r>
      <w:r w:rsidRPr="00695B0F">
        <w:rPr>
          <w:rFonts w:cs="Arial"/>
          <w:b/>
          <w:sz w:val="28"/>
          <w:szCs w:val="28"/>
        </w:rPr>
        <w:t>-1</w:t>
      </w:r>
      <w:r>
        <w:rPr>
          <w:rFonts w:cs="Arial"/>
          <w:b/>
          <w:sz w:val="28"/>
          <w:szCs w:val="28"/>
        </w:rPr>
        <w:t>7</w:t>
      </w:r>
    </w:p>
    <w:p w14:paraId="24200BAE" w14:textId="77777777" w:rsidR="00CE0F02" w:rsidRDefault="00CE0F02" w:rsidP="00CE0F02">
      <w:pPr>
        <w:pStyle w:val="PlainText"/>
        <w:rPr>
          <w:rFonts w:cs="Arial"/>
          <w:b/>
          <w:szCs w:val="22"/>
        </w:rPr>
      </w:pPr>
    </w:p>
    <w:p w14:paraId="7C6CDAF7" w14:textId="77777777" w:rsidR="00CE0F02" w:rsidRDefault="00CE0F02" w:rsidP="00CE0F02">
      <w:pPr>
        <w:pStyle w:val="PlainText"/>
        <w:rPr>
          <w:rFonts w:cs="Arial"/>
          <w:b/>
          <w:szCs w:val="22"/>
        </w:rPr>
      </w:pPr>
    </w:p>
    <w:p w14:paraId="77191DE1" w14:textId="77777777" w:rsidR="00CE0F02" w:rsidRPr="00010D20" w:rsidRDefault="00CE0F02" w:rsidP="00CE0F02">
      <w:pPr>
        <w:pStyle w:val="PlainText"/>
        <w:rPr>
          <w:rFonts w:cs="Arial"/>
          <w:b/>
          <w:szCs w:val="22"/>
        </w:rPr>
      </w:pPr>
      <w:r w:rsidRPr="00010D20">
        <w:rPr>
          <w:rFonts w:cs="Arial"/>
          <w:b/>
          <w:szCs w:val="22"/>
        </w:rPr>
        <w:t>Background</w:t>
      </w:r>
    </w:p>
    <w:p w14:paraId="199C2D2A" w14:textId="77777777" w:rsidR="00CE0F02" w:rsidRPr="00010D20" w:rsidRDefault="00CE0F02" w:rsidP="00CE0F02">
      <w:pPr>
        <w:pStyle w:val="PlainText"/>
        <w:rPr>
          <w:rFonts w:cs="Arial"/>
          <w:szCs w:val="22"/>
        </w:rPr>
      </w:pPr>
    </w:p>
    <w:p w14:paraId="177D5171" w14:textId="77777777" w:rsidR="00CE0F02" w:rsidRDefault="00CE0F02" w:rsidP="00CE0F02">
      <w:pPr>
        <w:pStyle w:val="PlainText"/>
        <w:numPr>
          <w:ilvl w:val="0"/>
          <w:numId w:val="4"/>
        </w:numPr>
        <w:rPr>
          <w:rFonts w:cs="Arial"/>
          <w:szCs w:val="22"/>
        </w:rPr>
      </w:pPr>
      <w:r>
        <w:rPr>
          <w:rFonts w:cs="Arial"/>
          <w:szCs w:val="22"/>
        </w:rPr>
        <w:t>At this first meeting of the Safer and Stronger Communities Board (SSCB), members are asked to consider the policy priorities for the work programme for the coming year. In making these decisions, members are asked to consider two issues:</w:t>
      </w:r>
    </w:p>
    <w:p w14:paraId="3DAA23D5" w14:textId="77777777" w:rsidR="00CE0F02" w:rsidRDefault="00CE0F02" w:rsidP="00CE0F02">
      <w:pPr>
        <w:pStyle w:val="PlainText"/>
        <w:rPr>
          <w:rFonts w:cs="Arial"/>
          <w:szCs w:val="22"/>
        </w:rPr>
      </w:pPr>
    </w:p>
    <w:p w14:paraId="432D7CAB" w14:textId="77777777" w:rsidR="00CE0F02" w:rsidRDefault="00CE0F02" w:rsidP="00E85E5A">
      <w:pPr>
        <w:pStyle w:val="PlainText"/>
        <w:numPr>
          <w:ilvl w:val="0"/>
          <w:numId w:val="5"/>
        </w:numPr>
        <w:ind w:left="993" w:hanging="633"/>
        <w:rPr>
          <w:rFonts w:cs="Arial"/>
          <w:szCs w:val="22"/>
        </w:rPr>
      </w:pPr>
      <w:r>
        <w:rPr>
          <w:rFonts w:cs="Arial"/>
          <w:szCs w:val="22"/>
        </w:rPr>
        <w:t>The work that the LGA Leadership Board has asked Boards to undertake based on the overall policy priorities of the LGA.</w:t>
      </w:r>
    </w:p>
    <w:p w14:paraId="04AEE831" w14:textId="77777777" w:rsidR="00CE0F02" w:rsidRDefault="00CE0F02" w:rsidP="00E85E5A">
      <w:pPr>
        <w:pStyle w:val="PlainText"/>
        <w:numPr>
          <w:ilvl w:val="0"/>
          <w:numId w:val="5"/>
        </w:numPr>
        <w:ind w:left="993" w:hanging="633"/>
        <w:rPr>
          <w:rFonts w:cs="Arial"/>
          <w:szCs w:val="22"/>
        </w:rPr>
      </w:pPr>
      <w:r>
        <w:rPr>
          <w:rFonts w:cs="Arial"/>
          <w:szCs w:val="22"/>
        </w:rPr>
        <w:t>Specific policy priorities based on the remit of this Board.</w:t>
      </w:r>
    </w:p>
    <w:p w14:paraId="450E49E9" w14:textId="77777777" w:rsidR="00CE0F02" w:rsidRDefault="00CE0F02" w:rsidP="00CE0F02">
      <w:pPr>
        <w:pStyle w:val="PlainText"/>
        <w:rPr>
          <w:rFonts w:ascii="Times New Roman" w:eastAsia="Times New Roman" w:hAnsi="Times New Roman" w:cs="Arial"/>
          <w:sz w:val="24"/>
          <w:szCs w:val="22"/>
          <w:lang w:eastAsia="en-GB"/>
        </w:rPr>
      </w:pPr>
    </w:p>
    <w:p w14:paraId="50364CA1" w14:textId="77777777" w:rsidR="00CE0F02" w:rsidRPr="00695B0F" w:rsidRDefault="00CE0F02" w:rsidP="00CE0F02">
      <w:pPr>
        <w:pStyle w:val="PlainText"/>
        <w:rPr>
          <w:rFonts w:cs="Arial"/>
          <w:b/>
          <w:szCs w:val="22"/>
        </w:rPr>
      </w:pPr>
      <w:r w:rsidRPr="00695B0F">
        <w:rPr>
          <w:rFonts w:cs="Arial"/>
          <w:b/>
          <w:szCs w:val="22"/>
        </w:rPr>
        <w:t>Work commis</w:t>
      </w:r>
      <w:r>
        <w:rPr>
          <w:rFonts w:cs="Arial"/>
          <w:b/>
          <w:szCs w:val="22"/>
        </w:rPr>
        <w:t>sioned from LGA policy Boards by the LGA Leadership Board</w:t>
      </w:r>
    </w:p>
    <w:p w14:paraId="4E26A649" w14:textId="77777777" w:rsidR="00CE0F02" w:rsidRPr="00695B0F" w:rsidRDefault="00CE0F02" w:rsidP="00CE0F02">
      <w:pPr>
        <w:pStyle w:val="PlainText"/>
        <w:rPr>
          <w:rFonts w:cs="Arial"/>
          <w:szCs w:val="22"/>
        </w:rPr>
      </w:pPr>
    </w:p>
    <w:p w14:paraId="3BC62AA4" w14:textId="77777777" w:rsidR="00CE0F02" w:rsidRDefault="00CE0F02" w:rsidP="00CE0F02">
      <w:pPr>
        <w:pStyle w:val="PlainText"/>
        <w:numPr>
          <w:ilvl w:val="0"/>
          <w:numId w:val="4"/>
        </w:numPr>
        <w:rPr>
          <w:rFonts w:cs="Arial"/>
          <w:szCs w:val="22"/>
        </w:rPr>
      </w:pPr>
      <w:r>
        <w:rPr>
          <w:rFonts w:cs="Arial"/>
          <w:szCs w:val="22"/>
        </w:rPr>
        <w:t>As in 2015-16, LGA policy Boards are being asked to incorporate cross-cutting LGA priorities within their work programmes. The key request from LGA Leadership Board as we begin the 2016-17 Board cycle is for individual Boards to:</w:t>
      </w:r>
    </w:p>
    <w:p w14:paraId="3C5EB38A" w14:textId="77777777" w:rsidR="00CE0F02" w:rsidRDefault="00CE0F02" w:rsidP="00CE0F02">
      <w:pPr>
        <w:pStyle w:val="PlainText"/>
        <w:ind w:left="360"/>
        <w:rPr>
          <w:rFonts w:cs="Arial"/>
          <w:szCs w:val="22"/>
        </w:rPr>
      </w:pPr>
    </w:p>
    <w:p w14:paraId="181A866F" w14:textId="0BF6D2B3" w:rsidR="00CE0F02" w:rsidRDefault="00CE0F02" w:rsidP="00E85E5A">
      <w:pPr>
        <w:pStyle w:val="PlainText"/>
        <w:numPr>
          <w:ilvl w:val="1"/>
          <w:numId w:val="4"/>
        </w:numPr>
        <w:ind w:left="851" w:hanging="491"/>
        <w:rPr>
          <w:rFonts w:cs="Arial"/>
          <w:szCs w:val="22"/>
        </w:rPr>
      </w:pPr>
      <w:r>
        <w:rPr>
          <w:rFonts w:cs="Arial"/>
          <w:szCs w:val="22"/>
        </w:rPr>
        <w:t>Consider the impact of the vote to leave the European Union on their policy areas and make appropriate provision with</w:t>
      </w:r>
      <w:r w:rsidR="006D1033">
        <w:rPr>
          <w:rFonts w:cs="Arial"/>
          <w:szCs w:val="22"/>
        </w:rPr>
        <w:t>in</w:t>
      </w:r>
      <w:r>
        <w:rPr>
          <w:rFonts w:cs="Arial"/>
          <w:szCs w:val="22"/>
        </w:rPr>
        <w:t xml:space="preserve"> their work programme.</w:t>
      </w:r>
    </w:p>
    <w:p w14:paraId="4CA406DF" w14:textId="77777777" w:rsidR="00CE0F02" w:rsidRDefault="00CE0F02" w:rsidP="00E85E5A">
      <w:pPr>
        <w:pStyle w:val="PlainText"/>
        <w:numPr>
          <w:ilvl w:val="1"/>
          <w:numId w:val="4"/>
        </w:numPr>
        <w:ind w:left="851" w:hanging="491"/>
        <w:rPr>
          <w:rFonts w:cs="Arial"/>
          <w:szCs w:val="22"/>
        </w:rPr>
      </w:pPr>
      <w:r>
        <w:rPr>
          <w:rFonts w:cs="Arial"/>
          <w:szCs w:val="22"/>
        </w:rPr>
        <w:t>Contribute to the development of the LGA’s Autumn Statement submission and pitch to the new Government.</w:t>
      </w:r>
    </w:p>
    <w:p w14:paraId="4BA87BD7" w14:textId="77777777" w:rsidR="00CE0F02" w:rsidRDefault="00CE0F02" w:rsidP="00CE0F02">
      <w:pPr>
        <w:pStyle w:val="PlainText"/>
        <w:ind w:left="1021"/>
        <w:rPr>
          <w:rFonts w:cs="Arial"/>
          <w:szCs w:val="22"/>
        </w:rPr>
      </w:pPr>
    </w:p>
    <w:p w14:paraId="19A3D75A" w14:textId="28DEE252" w:rsidR="00CE0F02" w:rsidRDefault="00CE0F02" w:rsidP="00CE0F02">
      <w:pPr>
        <w:pStyle w:val="PlainText"/>
        <w:numPr>
          <w:ilvl w:val="0"/>
          <w:numId w:val="4"/>
        </w:numPr>
        <w:rPr>
          <w:rFonts w:cs="Arial"/>
          <w:szCs w:val="22"/>
        </w:rPr>
      </w:pPr>
      <w:r>
        <w:rPr>
          <w:rFonts w:cs="Arial"/>
          <w:szCs w:val="22"/>
        </w:rPr>
        <w:t>Alongside this, the LGA Business Plan is being refreshed in September. The key themes in the plan, in common with previous years, are expected to be devolution, housing, finance, adult social care and health, as well as Brexit. Our work programme will need to reflect the new business plan, with the following areas likely to have par</w:t>
      </w:r>
      <w:r w:rsidR="00B02D35">
        <w:rPr>
          <w:rFonts w:cs="Arial"/>
          <w:szCs w:val="22"/>
        </w:rPr>
        <w:t xml:space="preserve">ticular resonance: devolution (in terms of </w:t>
      </w:r>
      <w:r>
        <w:rPr>
          <w:rFonts w:cs="Arial"/>
          <w:szCs w:val="22"/>
        </w:rPr>
        <w:t xml:space="preserve">metro mayors, Police and Crime </w:t>
      </w:r>
      <w:r w:rsidR="00B02D35">
        <w:rPr>
          <w:rFonts w:cs="Arial"/>
          <w:szCs w:val="22"/>
        </w:rPr>
        <w:t>Commissioners and fire services),</w:t>
      </w:r>
      <w:r>
        <w:rPr>
          <w:rFonts w:cs="Arial"/>
          <w:szCs w:val="22"/>
        </w:rPr>
        <w:t xml:space="preserve"> wellbeing;</w:t>
      </w:r>
      <w:r w:rsidR="00B02D35">
        <w:rPr>
          <w:rFonts w:cs="Arial"/>
          <w:szCs w:val="22"/>
        </w:rPr>
        <w:t xml:space="preserve"> and the link between skills,</w:t>
      </w:r>
      <w:r>
        <w:rPr>
          <w:rFonts w:cs="Arial"/>
          <w:szCs w:val="22"/>
        </w:rPr>
        <w:t xml:space="preserve"> the economy and community cohesion. </w:t>
      </w:r>
    </w:p>
    <w:p w14:paraId="3D894EEB" w14:textId="77777777" w:rsidR="00CE0F02" w:rsidRDefault="00CE0F02" w:rsidP="00CE0F02">
      <w:pPr>
        <w:pStyle w:val="PlainText"/>
        <w:ind w:left="360"/>
        <w:rPr>
          <w:rFonts w:cs="Arial"/>
          <w:szCs w:val="22"/>
        </w:rPr>
      </w:pPr>
    </w:p>
    <w:p w14:paraId="57A56230" w14:textId="77777777" w:rsidR="00CE0F02" w:rsidRPr="00FD2E28" w:rsidRDefault="00CE0F02" w:rsidP="00CE0F02">
      <w:pPr>
        <w:pStyle w:val="PlainText"/>
        <w:rPr>
          <w:rFonts w:cs="Arial"/>
          <w:b/>
          <w:szCs w:val="22"/>
        </w:rPr>
      </w:pPr>
      <w:r w:rsidRPr="00FD2E28">
        <w:rPr>
          <w:rFonts w:cs="Arial"/>
          <w:b/>
          <w:szCs w:val="22"/>
        </w:rPr>
        <w:t xml:space="preserve">Impact of the </w:t>
      </w:r>
      <w:r>
        <w:rPr>
          <w:rFonts w:cs="Arial"/>
          <w:b/>
          <w:szCs w:val="22"/>
        </w:rPr>
        <w:t>vote to leave the EU</w:t>
      </w:r>
      <w:r w:rsidRPr="00FD2E28">
        <w:rPr>
          <w:rFonts w:cs="Arial"/>
          <w:b/>
          <w:szCs w:val="22"/>
        </w:rPr>
        <w:t xml:space="preserve"> on SSCB policy areas</w:t>
      </w:r>
      <w:r>
        <w:rPr>
          <w:rFonts w:cs="Arial"/>
          <w:b/>
          <w:szCs w:val="22"/>
        </w:rPr>
        <w:t xml:space="preserve"> and work planning</w:t>
      </w:r>
    </w:p>
    <w:p w14:paraId="7EB4BCF3" w14:textId="77777777" w:rsidR="00CE0F02" w:rsidRDefault="00CE0F02" w:rsidP="00CE0F02">
      <w:pPr>
        <w:pStyle w:val="PlainText"/>
        <w:rPr>
          <w:rFonts w:cs="Arial"/>
          <w:szCs w:val="22"/>
        </w:rPr>
      </w:pPr>
    </w:p>
    <w:p w14:paraId="76C1BD98" w14:textId="63C1DC95" w:rsidR="00CE0F02" w:rsidRDefault="00CE0F02" w:rsidP="00CE0F02">
      <w:pPr>
        <w:pStyle w:val="PlainText"/>
        <w:numPr>
          <w:ilvl w:val="0"/>
          <w:numId w:val="4"/>
        </w:numPr>
        <w:rPr>
          <w:rFonts w:cs="Arial"/>
          <w:szCs w:val="22"/>
        </w:rPr>
      </w:pPr>
      <w:r>
        <w:rPr>
          <w:rFonts w:cs="Arial"/>
          <w:szCs w:val="22"/>
        </w:rPr>
        <w:t xml:space="preserve">At its meetings in July and early September, </w:t>
      </w:r>
      <w:r w:rsidR="00B02D35">
        <w:rPr>
          <w:rFonts w:cs="Arial"/>
          <w:szCs w:val="22"/>
        </w:rPr>
        <w:t xml:space="preserve">the </w:t>
      </w:r>
      <w:r>
        <w:rPr>
          <w:rFonts w:cs="Arial"/>
          <w:szCs w:val="22"/>
        </w:rPr>
        <w:t>Leadership Board identified five priority areas for the LGA to influence following the vote to leave the EU:</w:t>
      </w:r>
    </w:p>
    <w:p w14:paraId="01937239" w14:textId="77777777" w:rsidR="00CE0F02" w:rsidRDefault="00CE0F02" w:rsidP="00CE0F02">
      <w:pPr>
        <w:pStyle w:val="PlainText"/>
        <w:ind w:left="1224"/>
        <w:rPr>
          <w:rFonts w:cs="Arial"/>
          <w:szCs w:val="22"/>
        </w:rPr>
      </w:pPr>
    </w:p>
    <w:p w14:paraId="1091ADE1" w14:textId="77777777" w:rsidR="00CE0F02" w:rsidRPr="00EC0AD5" w:rsidRDefault="00CE0F02" w:rsidP="00D55077">
      <w:pPr>
        <w:pStyle w:val="PlainText"/>
        <w:numPr>
          <w:ilvl w:val="1"/>
          <w:numId w:val="4"/>
        </w:numPr>
        <w:rPr>
          <w:rFonts w:cs="Arial"/>
          <w:szCs w:val="22"/>
        </w:rPr>
      </w:pPr>
      <w:r w:rsidRPr="00EC0AD5">
        <w:rPr>
          <w:rFonts w:cs="Arial"/>
          <w:szCs w:val="22"/>
        </w:rPr>
        <w:t>Securing investment which is currently sourced from the EU</w:t>
      </w:r>
    </w:p>
    <w:p w14:paraId="3FC85AEB" w14:textId="77777777" w:rsidR="00CE0F02" w:rsidRPr="00EC0AD5" w:rsidRDefault="00CE0F02" w:rsidP="00D55077">
      <w:pPr>
        <w:pStyle w:val="PlainText"/>
        <w:numPr>
          <w:ilvl w:val="1"/>
          <w:numId w:val="4"/>
        </w:numPr>
        <w:rPr>
          <w:rFonts w:cs="Arial"/>
          <w:szCs w:val="22"/>
        </w:rPr>
      </w:pPr>
      <w:r w:rsidRPr="00EC0AD5">
        <w:rPr>
          <w:rFonts w:cs="Arial"/>
          <w:szCs w:val="22"/>
        </w:rPr>
        <w:t>Developing a new legal base for local government</w:t>
      </w:r>
    </w:p>
    <w:p w14:paraId="0454C7F9" w14:textId="77777777" w:rsidR="00CE0F02" w:rsidRPr="00EC0AD5" w:rsidRDefault="00CE0F02" w:rsidP="00D55077">
      <w:pPr>
        <w:pStyle w:val="PlainText"/>
        <w:numPr>
          <w:ilvl w:val="1"/>
          <w:numId w:val="4"/>
        </w:numPr>
        <w:rPr>
          <w:rFonts w:cs="Arial"/>
          <w:szCs w:val="22"/>
        </w:rPr>
      </w:pPr>
      <w:r w:rsidRPr="00EC0AD5">
        <w:rPr>
          <w:rFonts w:cs="Arial"/>
          <w:szCs w:val="22"/>
        </w:rPr>
        <w:t>Ini</w:t>
      </w:r>
      <w:r>
        <w:rPr>
          <w:rFonts w:cs="Arial"/>
          <w:szCs w:val="22"/>
        </w:rPr>
        <w:t>tiating a constitutional debate</w:t>
      </w:r>
    </w:p>
    <w:p w14:paraId="4388481D" w14:textId="77777777" w:rsidR="00CE0F02" w:rsidRPr="00EC0AD5" w:rsidRDefault="00CE0F02" w:rsidP="00D55077">
      <w:pPr>
        <w:pStyle w:val="PlainText"/>
        <w:numPr>
          <w:ilvl w:val="1"/>
          <w:numId w:val="4"/>
        </w:numPr>
        <w:rPr>
          <w:rFonts w:cs="Arial"/>
          <w:szCs w:val="22"/>
        </w:rPr>
      </w:pPr>
      <w:r w:rsidRPr="00EC0AD5">
        <w:rPr>
          <w:rFonts w:cs="Arial"/>
          <w:szCs w:val="22"/>
        </w:rPr>
        <w:t>Community Cohesion</w:t>
      </w:r>
    </w:p>
    <w:p w14:paraId="5E436443" w14:textId="77777777" w:rsidR="00CE0F02" w:rsidRPr="00EC0AD5" w:rsidRDefault="00CE0F02" w:rsidP="00D55077">
      <w:pPr>
        <w:pStyle w:val="PlainText"/>
        <w:numPr>
          <w:ilvl w:val="1"/>
          <w:numId w:val="4"/>
        </w:numPr>
        <w:rPr>
          <w:rFonts w:cs="Arial"/>
          <w:szCs w:val="22"/>
        </w:rPr>
      </w:pPr>
      <w:r w:rsidRPr="00EC0AD5">
        <w:rPr>
          <w:rFonts w:cs="Arial"/>
          <w:szCs w:val="22"/>
        </w:rPr>
        <w:t>Place-based impact</w:t>
      </w:r>
    </w:p>
    <w:p w14:paraId="5A6A5579" w14:textId="77777777" w:rsidR="00CE0F02" w:rsidRDefault="00CE0F02" w:rsidP="00CE0F02">
      <w:pPr>
        <w:pStyle w:val="PlainText"/>
        <w:ind w:left="1728"/>
        <w:rPr>
          <w:rFonts w:cs="Arial"/>
          <w:szCs w:val="22"/>
        </w:rPr>
      </w:pPr>
    </w:p>
    <w:p w14:paraId="3C5DFBD1" w14:textId="77777777" w:rsidR="00CE0F02" w:rsidRDefault="00CE0F02" w:rsidP="00CE0F02">
      <w:pPr>
        <w:pStyle w:val="PlainText"/>
        <w:numPr>
          <w:ilvl w:val="0"/>
          <w:numId w:val="4"/>
        </w:numPr>
        <w:rPr>
          <w:rFonts w:cs="Arial"/>
          <w:szCs w:val="22"/>
        </w:rPr>
      </w:pPr>
      <w:r>
        <w:rPr>
          <w:rFonts w:cs="Arial"/>
          <w:szCs w:val="22"/>
        </w:rPr>
        <w:t>Two of these have particular relevance for the SSCB’s work programme.  These are:</w:t>
      </w:r>
    </w:p>
    <w:p w14:paraId="7C925A3D" w14:textId="77777777" w:rsidR="00CE0F02" w:rsidRDefault="00CE0F02" w:rsidP="00CE0F02">
      <w:pPr>
        <w:pStyle w:val="ListParagraph"/>
        <w:rPr>
          <w:rFonts w:cs="Arial"/>
          <w:szCs w:val="22"/>
        </w:rPr>
      </w:pPr>
    </w:p>
    <w:p w14:paraId="159CC3C8" w14:textId="77777777" w:rsidR="00CE0F02" w:rsidRDefault="00CE0F02" w:rsidP="00CE0F02">
      <w:pPr>
        <w:pStyle w:val="PlainText"/>
        <w:numPr>
          <w:ilvl w:val="1"/>
          <w:numId w:val="4"/>
        </w:numPr>
        <w:rPr>
          <w:rFonts w:cs="Arial"/>
          <w:szCs w:val="22"/>
        </w:rPr>
      </w:pPr>
      <w:r>
        <w:rPr>
          <w:rFonts w:cs="Arial"/>
          <w:szCs w:val="22"/>
        </w:rPr>
        <w:t>Community cohesion.</w:t>
      </w:r>
    </w:p>
    <w:p w14:paraId="3A0F9F9B" w14:textId="6112B790" w:rsidR="00CE0F02" w:rsidRDefault="00CE0F02" w:rsidP="00CE0F02">
      <w:pPr>
        <w:pStyle w:val="PlainText"/>
        <w:numPr>
          <w:ilvl w:val="1"/>
          <w:numId w:val="4"/>
        </w:numPr>
        <w:rPr>
          <w:rFonts w:cs="Arial"/>
          <w:szCs w:val="22"/>
        </w:rPr>
      </w:pPr>
      <w:r>
        <w:rPr>
          <w:rFonts w:cs="Arial"/>
          <w:szCs w:val="22"/>
        </w:rPr>
        <w:lastRenderedPageBreak/>
        <w:t>Developing a new legal base</w:t>
      </w:r>
      <w:r w:rsidR="00B02D35">
        <w:rPr>
          <w:rFonts w:cs="Arial"/>
          <w:szCs w:val="22"/>
        </w:rPr>
        <w:t xml:space="preserve"> for council enforced regulatory services</w:t>
      </w:r>
      <w:r>
        <w:rPr>
          <w:rFonts w:cs="Arial"/>
          <w:szCs w:val="22"/>
        </w:rPr>
        <w:t>, given that much of the underpinning legislation is derived from European legislation.</w:t>
      </w:r>
    </w:p>
    <w:p w14:paraId="046ACFE2" w14:textId="77777777" w:rsidR="00CE0F02" w:rsidRPr="00CC23FC" w:rsidRDefault="00CE0F02" w:rsidP="00CE0F02">
      <w:pPr>
        <w:pStyle w:val="PlainText"/>
        <w:ind w:left="360"/>
        <w:rPr>
          <w:rFonts w:cs="Arial"/>
          <w:szCs w:val="22"/>
        </w:rPr>
      </w:pPr>
    </w:p>
    <w:p w14:paraId="10B5CB06" w14:textId="77777777" w:rsidR="00CE0F02" w:rsidRPr="00BE7600" w:rsidRDefault="00CE0F02" w:rsidP="00E85E5A">
      <w:pPr>
        <w:pStyle w:val="PlainText"/>
        <w:rPr>
          <w:rFonts w:cs="Arial"/>
          <w:b/>
          <w:szCs w:val="22"/>
        </w:rPr>
      </w:pPr>
      <w:r w:rsidRPr="00BE7600">
        <w:rPr>
          <w:rFonts w:cs="Arial"/>
          <w:b/>
          <w:szCs w:val="22"/>
        </w:rPr>
        <w:t>Community cohesion</w:t>
      </w:r>
    </w:p>
    <w:p w14:paraId="0E2A464C" w14:textId="77777777" w:rsidR="00E85E5A" w:rsidRDefault="00E85E5A" w:rsidP="00E85E5A">
      <w:pPr>
        <w:pStyle w:val="PlainText"/>
        <w:rPr>
          <w:rFonts w:cs="Arial"/>
          <w:szCs w:val="22"/>
        </w:rPr>
      </w:pPr>
    </w:p>
    <w:p w14:paraId="293A6851" w14:textId="65AD80C8" w:rsidR="00CE0F02" w:rsidRDefault="00CE0F02" w:rsidP="00E85E5A">
      <w:pPr>
        <w:pStyle w:val="PlainText"/>
        <w:numPr>
          <w:ilvl w:val="0"/>
          <w:numId w:val="4"/>
        </w:numPr>
        <w:rPr>
          <w:rFonts w:cs="Arial"/>
          <w:szCs w:val="22"/>
        </w:rPr>
      </w:pPr>
      <w:r>
        <w:rPr>
          <w:rFonts w:cs="Arial"/>
          <w:szCs w:val="22"/>
        </w:rPr>
        <w:t>The LGA’s proposed work on community cohesion is outlined in a separate paper to the Board. Subject to the views of the Board, the immediate focus of the work is to update and revise existing LGA guidance on community cohesion.</w:t>
      </w:r>
    </w:p>
    <w:p w14:paraId="40C0BBAD" w14:textId="77777777" w:rsidR="00CE0F02" w:rsidRPr="00BE7600" w:rsidRDefault="00CE0F02" w:rsidP="00CE0F02">
      <w:pPr>
        <w:pStyle w:val="PlainText"/>
        <w:ind w:left="1021"/>
        <w:rPr>
          <w:rFonts w:cs="Arial"/>
          <w:szCs w:val="22"/>
        </w:rPr>
      </w:pPr>
    </w:p>
    <w:p w14:paraId="3CECA3EE" w14:textId="77777777" w:rsidR="00CE0F02" w:rsidRDefault="00CE0F02" w:rsidP="00E85E5A">
      <w:pPr>
        <w:pStyle w:val="PlainText"/>
        <w:rPr>
          <w:rFonts w:cs="Arial"/>
          <w:b/>
          <w:szCs w:val="22"/>
        </w:rPr>
      </w:pPr>
      <w:r>
        <w:rPr>
          <w:rFonts w:cs="Arial"/>
          <w:b/>
          <w:szCs w:val="22"/>
        </w:rPr>
        <w:t>Developing a new legal base for local government - i</w:t>
      </w:r>
      <w:r w:rsidRPr="00BE7600">
        <w:rPr>
          <w:rFonts w:cs="Arial"/>
          <w:b/>
          <w:szCs w:val="22"/>
        </w:rPr>
        <w:t>mpact of Brexit on council regulatory services and public protection work</w:t>
      </w:r>
    </w:p>
    <w:p w14:paraId="24B2CC07" w14:textId="77777777" w:rsidR="00E85E5A" w:rsidRPr="00BE7600" w:rsidRDefault="00E85E5A" w:rsidP="00E85E5A">
      <w:pPr>
        <w:pStyle w:val="PlainText"/>
        <w:rPr>
          <w:rFonts w:cs="Arial"/>
          <w:b/>
          <w:szCs w:val="22"/>
        </w:rPr>
      </w:pPr>
    </w:p>
    <w:p w14:paraId="5D59B142" w14:textId="77777777" w:rsidR="00CE0F02" w:rsidRDefault="00CE0F02" w:rsidP="00E85E5A">
      <w:pPr>
        <w:pStyle w:val="PlainText"/>
        <w:numPr>
          <w:ilvl w:val="0"/>
          <w:numId w:val="4"/>
        </w:numPr>
        <w:rPr>
          <w:rFonts w:cs="Arial"/>
          <w:szCs w:val="22"/>
        </w:rPr>
      </w:pPr>
      <w:r>
        <w:rPr>
          <w:rFonts w:cs="Arial"/>
          <w:szCs w:val="22"/>
        </w:rPr>
        <w:t>Local government services are influenced to a significant degree by European legislation. With the UK having voted to leave the EU, there is a need therefore to develop a new legal base for local government.</w:t>
      </w:r>
    </w:p>
    <w:p w14:paraId="54F21BF9" w14:textId="77777777" w:rsidR="00CE0F02" w:rsidRDefault="00CE0F02" w:rsidP="00E85E5A">
      <w:pPr>
        <w:pStyle w:val="PlainText"/>
        <w:ind w:left="360"/>
        <w:rPr>
          <w:rFonts w:cs="Arial"/>
          <w:szCs w:val="22"/>
        </w:rPr>
      </w:pPr>
    </w:p>
    <w:p w14:paraId="672807FB" w14:textId="77777777" w:rsidR="00CE0F02" w:rsidRDefault="00CE0F02" w:rsidP="00E85E5A">
      <w:pPr>
        <w:pStyle w:val="PlainText"/>
        <w:numPr>
          <w:ilvl w:val="0"/>
          <w:numId w:val="4"/>
        </w:numPr>
        <w:rPr>
          <w:rFonts w:cs="Arial"/>
          <w:szCs w:val="22"/>
        </w:rPr>
      </w:pPr>
      <w:r>
        <w:rPr>
          <w:rFonts w:cs="Arial"/>
          <w:szCs w:val="22"/>
        </w:rPr>
        <w:t>Council regulatory services are heavily shaped by Europe, with a huge proportion of trading standards and environmental health activity driven by European legislation. Of the regulatory service areas within the Safer and Stronger Communities Board remit, the following are largely or in part derived from European law:</w:t>
      </w:r>
    </w:p>
    <w:p w14:paraId="05C710F0" w14:textId="77777777" w:rsidR="00CE0F02" w:rsidRDefault="00CE0F02" w:rsidP="00CE0F02">
      <w:pPr>
        <w:pStyle w:val="PlainText"/>
        <w:rPr>
          <w:rFonts w:cs="Arial"/>
          <w:szCs w:val="22"/>
        </w:rPr>
      </w:pPr>
    </w:p>
    <w:p w14:paraId="40E1781E" w14:textId="77777777" w:rsidR="00CE0F02" w:rsidRDefault="00CE0F02" w:rsidP="00E85E5A">
      <w:pPr>
        <w:pStyle w:val="PlainText"/>
        <w:numPr>
          <w:ilvl w:val="1"/>
          <w:numId w:val="4"/>
        </w:numPr>
        <w:rPr>
          <w:rFonts w:cs="Arial"/>
          <w:szCs w:val="22"/>
        </w:rPr>
      </w:pPr>
      <w:r>
        <w:rPr>
          <w:rFonts w:cs="Arial"/>
          <w:szCs w:val="22"/>
        </w:rPr>
        <w:t>Weights and measures</w:t>
      </w:r>
    </w:p>
    <w:p w14:paraId="24C9E1D4" w14:textId="77777777" w:rsidR="00CE0F02" w:rsidRDefault="00CE0F02" w:rsidP="00E85E5A">
      <w:pPr>
        <w:pStyle w:val="PlainText"/>
        <w:numPr>
          <w:ilvl w:val="1"/>
          <w:numId w:val="4"/>
        </w:numPr>
        <w:rPr>
          <w:rFonts w:cs="Arial"/>
          <w:szCs w:val="22"/>
        </w:rPr>
      </w:pPr>
      <w:r>
        <w:rPr>
          <w:rFonts w:cs="Arial"/>
          <w:szCs w:val="22"/>
        </w:rPr>
        <w:t>Food safety and the feed chain</w:t>
      </w:r>
    </w:p>
    <w:p w14:paraId="6FE94E11" w14:textId="77777777" w:rsidR="00CE0F02" w:rsidRDefault="00CE0F02" w:rsidP="00E85E5A">
      <w:pPr>
        <w:pStyle w:val="PlainText"/>
        <w:numPr>
          <w:ilvl w:val="1"/>
          <w:numId w:val="4"/>
        </w:numPr>
        <w:rPr>
          <w:rFonts w:cs="Arial"/>
          <w:szCs w:val="22"/>
        </w:rPr>
      </w:pPr>
      <w:r>
        <w:rPr>
          <w:rFonts w:cs="Arial"/>
          <w:szCs w:val="22"/>
        </w:rPr>
        <w:t>Product safety</w:t>
      </w:r>
    </w:p>
    <w:p w14:paraId="6464CA06" w14:textId="70169A95" w:rsidR="00CE0F02" w:rsidRDefault="00B02D35" w:rsidP="00E85E5A">
      <w:pPr>
        <w:pStyle w:val="PlainText"/>
        <w:numPr>
          <w:ilvl w:val="1"/>
          <w:numId w:val="4"/>
        </w:numPr>
        <w:rPr>
          <w:rFonts w:cs="Arial"/>
          <w:szCs w:val="22"/>
        </w:rPr>
      </w:pPr>
      <w:r>
        <w:rPr>
          <w:rFonts w:cs="Arial"/>
          <w:szCs w:val="22"/>
        </w:rPr>
        <w:t>Consumer protection and fair trading</w:t>
      </w:r>
    </w:p>
    <w:p w14:paraId="09A73F18" w14:textId="77777777" w:rsidR="00CE0F02" w:rsidRDefault="00CE0F02" w:rsidP="00E85E5A">
      <w:pPr>
        <w:pStyle w:val="PlainText"/>
        <w:numPr>
          <w:ilvl w:val="1"/>
          <w:numId w:val="4"/>
        </w:numPr>
        <w:rPr>
          <w:rFonts w:cs="Arial"/>
          <w:szCs w:val="22"/>
        </w:rPr>
      </w:pPr>
      <w:r>
        <w:rPr>
          <w:rFonts w:cs="Arial"/>
          <w:szCs w:val="22"/>
        </w:rPr>
        <w:t>Licensing (via the Services Directive, which covers all licensing excluding taxis and gambling).</w:t>
      </w:r>
    </w:p>
    <w:p w14:paraId="702C394F" w14:textId="77777777" w:rsidR="00CE0F02" w:rsidRDefault="00CE0F02" w:rsidP="00CE0F02">
      <w:pPr>
        <w:pStyle w:val="PlainText"/>
        <w:ind w:left="1224"/>
        <w:rPr>
          <w:rFonts w:cs="Arial"/>
          <w:szCs w:val="22"/>
        </w:rPr>
      </w:pPr>
    </w:p>
    <w:p w14:paraId="6B9F7160" w14:textId="59683868" w:rsidR="00CE0F02" w:rsidRDefault="00CE0F02" w:rsidP="00E85E5A">
      <w:pPr>
        <w:pStyle w:val="PlainText"/>
        <w:numPr>
          <w:ilvl w:val="0"/>
          <w:numId w:val="4"/>
        </w:numPr>
        <w:rPr>
          <w:rFonts w:cs="Arial"/>
          <w:szCs w:val="22"/>
        </w:rPr>
      </w:pPr>
      <w:r>
        <w:rPr>
          <w:rFonts w:cs="Arial"/>
          <w:szCs w:val="22"/>
        </w:rPr>
        <w:t xml:space="preserve">Additionally, elements of health and safety and animal health are also influenced by Europe (as are other elements of Environmental Health overseen by other boards </w:t>
      </w:r>
      <w:r w:rsidR="006D1033">
        <w:rPr>
          <w:rFonts w:cs="Arial"/>
          <w:szCs w:val="22"/>
        </w:rPr>
        <w:t>for example</w:t>
      </w:r>
      <w:r>
        <w:rPr>
          <w:rFonts w:cs="Arial"/>
          <w:szCs w:val="22"/>
        </w:rPr>
        <w:t xml:space="preserve"> air pollution and other environmental issues).</w:t>
      </w:r>
    </w:p>
    <w:p w14:paraId="5ECD5C72" w14:textId="77777777" w:rsidR="00CE0F02" w:rsidRDefault="00CE0F02" w:rsidP="00E85E5A">
      <w:pPr>
        <w:pStyle w:val="PlainText"/>
        <w:ind w:left="360"/>
        <w:rPr>
          <w:rFonts w:cs="Arial"/>
          <w:szCs w:val="22"/>
        </w:rPr>
      </w:pPr>
    </w:p>
    <w:p w14:paraId="076062E6" w14:textId="77777777" w:rsidR="00CE0F02" w:rsidRDefault="00CE0F02" w:rsidP="00E85E5A">
      <w:pPr>
        <w:pStyle w:val="PlainText"/>
        <w:numPr>
          <w:ilvl w:val="0"/>
          <w:numId w:val="4"/>
        </w:numPr>
        <w:rPr>
          <w:rFonts w:cs="Arial"/>
          <w:szCs w:val="22"/>
        </w:rPr>
      </w:pPr>
      <w:r>
        <w:rPr>
          <w:rFonts w:cs="Arial"/>
          <w:szCs w:val="22"/>
        </w:rPr>
        <w:t>In common with other services, regulatory services are subject to a mix of EU directives that have been transposed into UK law (which will still apply when the UK actually leaves the EU) as well as EU regulations and decisions that apply directly. These would not apply once the UK leaves the EU, meaning that in those areas there will be no legal framework following exit.</w:t>
      </w:r>
    </w:p>
    <w:p w14:paraId="17BED119" w14:textId="77777777" w:rsidR="00CE0F02" w:rsidRDefault="00CE0F02" w:rsidP="00E85E5A">
      <w:pPr>
        <w:pStyle w:val="PlainText"/>
        <w:ind w:left="360"/>
        <w:rPr>
          <w:rFonts w:cs="Arial"/>
          <w:szCs w:val="22"/>
        </w:rPr>
      </w:pPr>
    </w:p>
    <w:p w14:paraId="0E6860C3" w14:textId="77777777" w:rsidR="00CE0F02" w:rsidRDefault="00CE0F02" w:rsidP="00E85E5A">
      <w:pPr>
        <w:pStyle w:val="PlainText"/>
        <w:numPr>
          <w:ilvl w:val="0"/>
          <w:numId w:val="4"/>
        </w:numPr>
        <w:rPr>
          <w:rFonts w:cs="Arial"/>
          <w:szCs w:val="22"/>
        </w:rPr>
      </w:pPr>
      <w:r>
        <w:rPr>
          <w:rFonts w:cs="Arial"/>
          <w:szCs w:val="22"/>
        </w:rPr>
        <w:t>In relation to both, Brexit provides an opportunity for political choices to be made to change laws previously based on EU regulatory frameworks, for example if they have been ‘gold-plated’, are simply outdated or are no longer desired.</w:t>
      </w:r>
    </w:p>
    <w:p w14:paraId="5554C08D" w14:textId="77777777" w:rsidR="00CE0F02" w:rsidRDefault="00CE0F02" w:rsidP="00E85E5A">
      <w:pPr>
        <w:pStyle w:val="PlainText"/>
        <w:ind w:left="360"/>
        <w:rPr>
          <w:rFonts w:cs="Arial"/>
          <w:szCs w:val="22"/>
        </w:rPr>
      </w:pPr>
    </w:p>
    <w:p w14:paraId="2F6BC567" w14:textId="77777777" w:rsidR="00CE0F02" w:rsidRDefault="00CE0F02" w:rsidP="00E85E5A">
      <w:pPr>
        <w:pStyle w:val="PlainText"/>
        <w:numPr>
          <w:ilvl w:val="0"/>
          <w:numId w:val="4"/>
        </w:numPr>
        <w:rPr>
          <w:rFonts w:cs="Arial"/>
          <w:szCs w:val="22"/>
        </w:rPr>
      </w:pPr>
      <w:r>
        <w:rPr>
          <w:rFonts w:cs="Arial"/>
          <w:szCs w:val="22"/>
        </w:rPr>
        <w:t>All Boards with policy areas whose legal basis will be affected by withdrawal from the EU are being asked to identify priority areas to flag with government as part of our ongoing discussions on Brexit.</w:t>
      </w:r>
    </w:p>
    <w:p w14:paraId="5480D4A3" w14:textId="77777777" w:rsidR="00CE0F02" w:rsidRDefault="00CE0F02" w:rsidP="00CE0F02">
      <w:pPr>
        <w:pStyle w:val="PlainText"/>
        <w:rPr>
          <w:rFonts w:cs="Arial"/>
          <w:szCs w:val="22"/>
        </w:rPr>
      </w:pPr>
    </w:p>
    <w:p w14:paraId="3909DC46" w14:textId="77777777" w:rsidR="00C55B8D" w:rsidRDefault="00C55B8D">
      <w:pPr>
        <w:rPr>
          <w:rFonts w:ascii="Arial" w:eastAsiaTheme="minorHAnsi" w:hAnsi="Arial" w:cs="Arial"/>
          <w:b/>
          <w:i/>
          <w:sz w:val="22"/>
          <w:szCs w:val="22"/>
          <w:lang w:eastAsia="en-US"/>
        </w:rPr>
      </w:pPr>
      <w:r>
        <w:rPr>
          <w:rFonts w:cs="Arial"/>
          <w:b/>
          <w:i/>
          <w:szCs w:val="22"/>
        </w:rPr>
        <w:br w:type="page"/>
      </w:r>
    </w:p>
    <w:p w14:paraId="6D6A5158" w14:textId="29D3AFBE" w:rsidR="00CE0F02" w:rsidRDefault="00CE0F02" w:rsidP="00E85E5A">
      <w:pPr>
        <w:pStyle w:val="PlainText"/>
        <w:rPr>
          <w:rFonts w:cs="Arial"/>
          <w:b/>
          <w:i/>
          <w:szCs w:val="22"/>
        </w:rPr>
      </w:pPr>
      <w:r>
        <w:rPr>
          <w:rFonts w:cs="Arial"/>
          <w:b/>
          <w:i/>
          <w:szCs w:val="22"/>
        </w:rPr>
        <w:lastRenderedPageBreak/>
        <w:t>Context</w:t>
      </w:r>
    </w:p>
    <w:p w14:paraId="4A543183" w14:textId="77777777" w:rsidR="00C55B8D" w:rsidRPr="009012F0" w:rsidRDefault="00C55B8D" w:rsidP="00E85E5A">
      <w:pPr>
        <w:pStyle w:val="PlainText"/>
        <w:rPr>
          <w:rFonts w:cs="Arial"/>
          <w:b/>
          <w:i/>
          <w:szCs w:val="22"/>
        </w:rPr>
      </w:pPr>
    </w:p>
    <w:p w14:paraId="22BF9EE6" w14:textId="77777777" w:rsidR="00CE0F02" w:rsidRDefault="00CE0F02" w:rsidP="00E85E5A">
      <w:pPr>
        <w:pStyle w:val="PlainText"/>
        <w:numPr>
          <w:ilvl w:val="0"/>
          <w:numId w:val="4"/>
        </w:numPr>
        <w:rPr>
          <w:rFonts w:cs="Arial"/>
          <w:szCs w:val="22"/>
        </w:rPr>
      </w:pPr>
      <w:r>
        <w:rPr>
          <w:rFonts w:cs="Arial"/>
          <w:szCs w:val="22"/>
        </w:rPr>
        <w:t>The great majority, if not all, of the European led regulations delivered by regulatory services will be comparatively technical and often complex. They are likely to cover issues that the LGA, since the demise of LACORS</w:t>
      </w:r>
      <w:r w:rsidRPr="00E85E5A">
        <w:footnoteReference w:id="1"/>
      </w:r>
      <w:r>
        <w:rPr>
          <w:rFonts w:cs="Arial"/>
          <w:szCs w:val="22"/>
        </w:rPr>
        <w:t>, has not generally been involved in and does not have significant expertise in. In recent years, government departments have tended to seek technical council input on these matters from individual councils officers or relevant professional bodies.</w:t>
      </w:r>
    </w:p>
    <w:p w14:paraId="2C3F8FD5" w14:textId="77777777" w:rsidR="00CE0F02" w:rsidRDefault="00CE0F02" w:rsidP="00E85E5A">
      <w:pPr>
        <w:pStyle w:val="PlainText"/>
        <w:ind w:left="360"/>
        <w:rPr>
          <w:rFonts w:cs="Arial"/>
          <w:szCs w:val="22"/>
        </w:rPr>
      </w:pPr>
    </w:p>
    <w:p w14:paraId="1D7DB3A6" w14:textId="77777777" w:rsidR="00CE0F02" w:rsidRDefault="00CE0F02" w:rsidP="00E85E5A">
      <w:pPr>
        <w:pStyle w:val="PlainText"/>
        <w:numPr>
          <w:ilvl w:val="0"/>
          <w:numId w:val="4"/>
        </w:numPr>
        <w:rPr>
          <w:rFonts w:cs="Arial"/>
          <w:szCs w:val="22"/>
        </w:rPr>
      </w:pPr>
      <w:r>
        <w:rPr>
          <w:rFonts w:cs="Arial"/>
          <w:szCs w:val="22"/>
        </w:rPr>
        <w:t>In several of the areas affected, there are also responsible national agencies – in relation to which councils are effectively delivery agents -  who will be likely to take the lead in developing a policy response; for example the Food Standards Agency, Animal and Plant Health Agency, Health and Safety Executive and National Measurement Office. This reflects that these are not areas that typically lend themselves to local flexibility or variation in the regulations themselves, with the requirements of businesses for national consistency and a level playing field generally accepted.</w:t>
      </w:r>
    </w:p>
    <w:p w14:paraId="7A61B5E7" w14:textId="77777777" w:rsidR="00CE0F02" w:rsidRDefault="00CE0F02" w:rsidP="00E85E5A">
      <w:pPr>
        <w:pStyle w:val="PlainText"/>
        <w:ind w:left="360"/>
        <w:rPr>
          <w:rFonts w:cs="Arial"/>
          <w:szCs w:val="22"/>
        </w:rPr>
      </w:pPr>
    </w:p>
    <w:p w14:paraId="118C4D84" w14:textId="77777777" w:rsidR="00CE0F02" w:rsidRDefault="00CE0F02" w:rsidP="00E85E5A">
      <w:pPr>
        <w:pStyle w:val="PlainText"/>
        <w:numPr>
          <w:ilvl w:val="0"/>
          <w:numId w:val="4"/>
        </w:numPr>
        <w:rPr>
          <w:rFonts w:cs="Arial"/>
          <w:szCs w:val="22"/>
        </w:rPr>
      </w:pPr>
      <w:r>
        <w:rPr>
          <w:rFonts w:cs="Arial"/>
          <w:szCs w:val="22"/>
        </w:rPr>
        <w:t>Alongside this, it can be assumed that there will be a variety of business, industry and other interest groups (including consumer organisations) which will have a view on the future of regulations in these areas.</w:t>
      </w:r>
    </w:p>
    <w:p w14:paraId="4E867853" w14:textId="77777777" w:rsidR="00CE0F02" w:rsidRDefault="00CE0F02" w:rsidP="00E85E5A">
      <w:pPr>
        <w:pStyle w:val="PlainText"/>
        <w:ind w:left="360"/>
        <w:rPr>
          <w:rFonts w:cs="Arial"/>
          <w:szCs w:val="22"/>
        </w:rPr>
      </w:pPr>
    </w:p>
    <w:p w14:paraId="17C2EAE9" w14:textId="6E75940F" w:rsidR="00CE0F02" w:rsidRDefault="00CE0F02" w:rsidP="00E85E5A">
      <w:pPr>
        <w:pStyle w:val="PlainText"/>
        <w:numPr>
          <w:ilvl w:val="0"/>
          <w:numId w:val="4"/>
        </w:numPr>
        <w:rPr>
          <w:rFonts w:cs="Arial"/>
          <w:szCs w:val="22"/>
        </w:rPr>
      </w:pPr>
      <w:r w:rsidRPr="001F0A2E">
        <w:rPr>
          <w:rFonts w:cs="Arial"/>
          <w:szCs w:val="22"/>
        </w:rPr>
        <w:t xml:space="preserve">In summary, these are not services or areas </w:t>
      </w:r>
      <w:r>
        <w:rPr>
          <w:rFonts w:cs="Arial"/>
          <w:szCs w:val="22"/>
        </w:rPr>
        <w:t xml:space="preserve">that have </w:t>
      </w:r>
      <w:r w:rsidR="00B02D35">
        <w:rPr>
          <w:rFonts w:cs="Arial"/>
          <w:szCs w:val="22"/>
        </w:rPr>
        <w:t xml:space="preserve">to date </w:t>
      </w:r>
      <w:r>
        <w:rPr>
          <w:rFonts w:cs="Arial"/>
          <w:szCs w:val="22"/>
        </w:rPr>
        <w:t xml:space="preserve">been </w:t>
      </w:r>
      <w:r w:rsidR="00B02D35">
        <w:rPr>
          <w:rFonts w:cs="Arial"/>
          <w:szCs w:val="22"/>
        </w:rPr>
        <w:t>priorities</w:t>
      </w:r>
      <w:r>
        <w:rPr>
          <w:rFonts w:cs="Arial"/>
          <w:szCs w:val="22"/>
        </w:rPr>
        <w:t xml:space="preserve"> for the LGA or councils</w:t>
      </w:r>
      <w:r w:rsidR="00B02D35">
        <w:rPr>
          <w:rFonts w:cs="Arial"/>
          <w:szCs w:val="22"/>
        </w:rPr>
        <w:t xml:space="preserve"> (or central government)</w:t>
      </w:r>
      <w:r>
        <w:rPr>
          <w:rFonts w:cs="Arial"/>
          <w:szCs w:val="22"/>
        </w:rPr>
        <w:t xml:space="preserve">, or </w:t>
      </w:r>
      <w:r w:rsidRPr="001F0A2E">
        <w:rPr>
          <w:rFonts w:cs="Arial"/>
          <w:szCs w:val="22"/>
        </w:rPr>
        <w:t xml:space="preserve">where local government will necessarily be expected to offer the leading policy input. However, as Brexit has a potentially significant </w:t>
      </w:r>
      <w:r>
        <w:rPr>
          <w:rFonts w:cs="Arial"/>
          <w:szCs w:val="22"/>
        </w:rPr>
        <w:t>impact on these council services</w:t>
      </w:r>
      <w:r w:rsidRPr="001F0A2E">
        <w:rPr>
          <w:rFonts w:cs="Arial"/>
          <w:szCs w:val="22"/>
        </w:rPr>
        <w:t xml:space="preserve">, there is a need to </w:t>
      </w:r>
      <w:r>
        <w:rPr>
          <w:rFonts w:cs="Arial"/>
          <w:szCs w:val="22"/>
        </w:rPr>
        <w:t xml:space="preserve">be clear about the strategic and political steer the LGA should provide on behalf of local government, to help frame the specialist technical input we expect to be provided from both officers and relevant professional bodies. </w:t>
      </w:r>
    </w:p>
    <w:p w14:paraId="2BBAAF8F" w14:textId="77777777" w:rsidR="00CE0F02" w:rsidRDefault="00CE0F02" w:rsidP="00E85E5A">
      <w:pPr>
        <w:pStyle w:val="PlainText"/>
        <w:ind w:left="360"/>
        <w:rPr>
          <w:rFonts w:cs="Arial"/>
          <w:szCs w:val="22"/>
        </w:rPr>
      </w:pPr>
    </w:p>
    <w:p w14:paraId="33EDBC4B" w14:textId="77777777" w:rsidR="00CE0F02" w:rsidRDefault="00CE0F02" w:rsidP="00E85E5A">
      <w:pPr>
        <w:pStyle w:val="PlainText"/>
        <w:numPr>
          <w:ilvl w:val="0"/>
          <w:numId w:val="4"/>
        </w:numPr>
        <w:rPr>
          <w:rFonts w:cs="Arial"/>
          <w:szCs w:val="22"/>
        </w:rPr>
      </w:pPr>
      <w:r>
        <w:rPr>
          <w:rFonts w:cs="Arial"/>
          <w:szCs w:val="22"/>
        </w:rPr>
        <w:t>As the Board will be aware, the opportunity to renegotiate the legal base for these services follows growing concern about the impact of financial cuts on regulatory services, and a call from the Chartered Trading Standards Institute in 2015 for regionalisation of the service.</w:t>
      </w:r>
    </w:p>
    <w:p w14:paraId="425D5DB1" w14:textId="77777777" w:rsidR="00CE0F02" w:rsidRDefault="00CE0F02" w:rsidP="00E85E5A">
      <w:pPr>
        <w:pStyle w:val="PlainText"/>
        <w:ind w:left="360"/>
        <w:rPr>
          <w:rFonts w:cs="Arial"/>
          <w:szCs w:val="22"/>
        </w:rPr>
      </w:pPr>
    </w:p>
    <w:p w14:paraId="12E01DFB" w14:textId="78AD0B02" w:rsidR="00CE0F02" w:rsidRDefault="00B02D35" w:rsidP="00E85E5A">
      <w:pPr>
        <w:pStyle w:val="PlainText"/>
        <w:numPr>
          <w:ilvl w:val="0"/>
          <w:numId w:val="4"/>
        </w:numPr>
        <w:rPr>
          <w:rFonts w:cs="Arial"/>
          <w:szCs w:val="22"/>
        </w:rPr>
      </w:pPr>
      <w:r>
        <w:rPr>
          <w:rFonts w:cs="Arial"/>
          <w:szCs w:val="22"/>
        </w:rPr>
        <w:t>Our</w:t>
      </w:r>
      <w:r w:rsidR="00CE0F02">
        <w:rPr>
          <w:rFonts w:cs="Arial"/>
          <w:szCs w:val="22"/>
        </w:rPr>
        <w:t xml:space="preserve"> work in this area has focused on seeking to draw attention to the challenges and how councils can address them. </w:t>
      </w:r>
      <w:r>
        <w:rPr>
          <w:rFonts w:cs="Arial"/>
          <w:szCs w:val="22"/>
        </w:rPr>
        <w:t xml:space="preserve">In </w:t>
      </w:r>
      <w:hyperlink r:id="rId12" w:history="1">
        <w:r w:rsidR="00CE0F02" w:rsidRPr="00E85E5A">
          <w:t>Remodelling Public Protection</w:t>
        </w:r>
      </w:hyperlink>
      <w:r w:rsidR="00CE0F02">
        <w:rPr>
          <w:rFonts w:cs="Arial"/>
          <w:szCs w:val="22"/>
        </w:rPr>
        <w:t xml:space="preserve"> </w:t>
      </w:r>
      <w:r>
        <w:rPr>
          <w:rFonts w:cs="Arial"/>
          <w:szCs w:val="22"/>
        </w:rPr>
        <w:t>w</w:t>
      </w:r>
      <w:r w:rsidR="00CE0F02">
        <w:rPr>
          <w:rFonts w:cs="Arial"/>
          <w:szCs w:val="22"/>
        </w:rPr>
        <w:t xml:space="preserve">e specifically criticised </w:t>
      </w:r>
      <w:r>
        <w:rPr>
          <w:rFonts w:cs="Arial"/>
          <w:szCs w:val="22"/>
        </w:rPr>
        <w:t>the tendency to continue</w:t>
      </w:r>
      <w:r w:rsidR="00CE0F02">
        <w:rPr>
          <w:rFonts w:cs="Arial"/>
          <w:szCs w:val="22"/>
        </w:rPr>
        <w:t xml:space="preserve"> to give responsibility for national and European regulations to already stretched local enforcement team, and called for a more realistic approach. We also raised the question of whether there is a need to fundamentally re-examine the balance of responsibility between consumers, residents, businesses and the public sector, funding and ownership of these services.</w:t>
      </w:r>
    </w:p>
    <w:p w14:paraId="3AEACF05" w14:textId="77777777" w:rsidR="00CE0F02" w:rsidRDefault="00CE0F02" w:rsidP="00E85E5A">
      <w:pPr>
        <w:pStyle w:val="PlainText"/>
        <w:ind w:left="360"/>
        <w:rPr>
          <w:rFonts w:cs="Arial"/>
          <w:szCs w:val="22"/>
        </w:rPr>
      </w:pPr>
    </w:p>
    <w:p w14:paraId="74C6071B" w14:textId="2BD221E5" w:rsidR="00CE0F02" w:rsidRPr="00B02D35" w:rsidRDefault="00CE0F02" w:rsidP="00E85E5A">
      <w:pPr>
        <w:pStyle w:val="PlainText"/>
        <w:numPr>
          <w:ilvl w:val="0"/>
          <w:numId w:val="4"/>
        </w:numPr>
        <w:rPr>
          <w:rFonts w:cs="Arial"/>
          <w:szCs w:val="22"/>
        </w:rPr>
      </w:pPr>
      <w:r w:rsidRPr="00B02D35">
        <w:rPr>
          <w:rFonts w:cs="Arial"/>
          <w:szCs w:val="22"/>
        </w:rPr>
        <w:t xml:space="preserve">In both Remodelling Public Protection and our subsequent Review of Trading Standards Services, we highlighted how global food and supply chains have led to </w:t>
      </w:r>
      <w:r w:rsidR="00B02D35" w:rsidRPr="00B02D35">
        <w:rPr>
          <w:rFonts w:cs="Arial"/>
          <w:szCs w:val="22"/>
        </w:rPr>
        <w:t xml:space="preserve">aspects of regulatory services </w:t>
      </w:r>
      <w:r w:rsidRPr="00B02D35">
        <w:rPr>
          <w:rFonts w:cs="Arial"/>
          <w:szCs w:val="22"/>
        </w:rPr>
        <w:t>becoming significantly less local in nature</w:t>
      </w:r>
      <w:r w:rsidR="00B02D35">
        <w:rPr>
          <w:rFonts w:cs="Arial"/>
          <w:szCs w:val="22"/>
        </w:rPr>
        <w:t xml:space="preserve">. </w:t>
      </w:r>
      <w:r w:rsidRPr="00B02D35">
        <w:rPr>
          <w:rFonts w:cs="Arial"/>
          <w:szCs w:val="22"/>
        </w:rPr>
        <w:t>Our review indicated strong support for maintaining trading standards</w:t>
      </w:r>
      <w:r w:rsidR="00B02D35">
        <w:rPr>
          <w:rFonts w:cs="Arial"/>
          <w:szCs w:val="22"/>
        </w:rPr>
        <w:t xml:space="preserve"> as a local </w:t>
      </w:r>
      <w:r w:rsidR="00B02D35">
        <w:rPr>
          <w:rFonts w:cs="Arial"/>
          <w:szCs w:val="22"/>
        </w:rPr>
        <w:lastRenderedPageBreak/>
        <w:t xml:space="preserve">government service but </w:t>
      </w:r>
      <w:r w:rsidRPr="00B02D35">
        <w:rPr>
          <w:rFonts w:cs="Arial"/>
          <w:szCs w:val="22"/>
        </w:rPr>
        <w:t>recognised the tension between a natural tendency for council-led services to prioritise issues with a specifically local impact or perpetrators – such as under-age sales or doorstep crime - compared to those issues which are less local in nature. In general, the areas of work that have typically been prioritised locally are less likely to derive from European regulations.</w:t>
      </w:r>
    </w:p>
    <w:p w14:paraId="6C0B8A46" w14:textId="77777777" w:rsidR="00CE0F02" w:rsidRDefault="00CE0F02" w:rsidP="00E85E5A">
      <w:pPr>
        <w:pStyle w:val="PlainText"/>
        <w:ind w:left="360"/>
        <w:rPr>
          <w:rFonts w:cs="Arial"/>
          <w:szCs w:val="22"/>
        </w:rPr>
      </w:pPr>
    </w:p>
    <w:p w14:paraId="11C48CC1" w14:textId="18CDF6D6" w:rsidR="00CE0F02" w:rsidRPr="00642464" w:rsidRDefault="00CE0F02" w:rsidP="00E85E5A">
      <w:pPr>
        <w:pStyle w:val="PlainText"/>
        <w:numPr>
          <w:ilvl w:val="0"/>
          <w:numId w:val="4"/>
        </w:numPr>
        <w:rPr>
          <w:rFonts w:cs="Arial"/>
          <w:szCs w:val="22"/>
        </w:rPr>
      </w:pPr>
      <w:r w:rsidRPr="00642464">
        <w:rPr>
          <w:rFonts w:cs="Arial"/>
          <w:szCs w:val="22"/>
        </w:rPr>
        <w:t xml:space="preserve">This overall context is important, because it </w:t>
      </w:r>
      <w:r>
        <w:rPr>
          <w:rFonts w:cs="Arial"/>
          <w:szCs w:val="22"/>
        </w:rPr>
        <w:t>highlights that there are opportunities and risks arising from negotiations linked to Brexit. On the one hand, there may be scope for scrapping or refining some of the regulations councils are responsible for enforcing and which are ineffective or burdensome. On the other, with</w:t>
      </w:r>
      <w:r w:rsidRPr="00642464">
        <w:rPr>
          <w:rFonts w:cs="Arial"/>
          <w:szCs w:val="22"/>
        </w:rPr>
        <w:t xml:space="preserve"> a recent CTSI survey suggesting </w:t>
      </w:r>
      <w:r w:rsidR="00B02D35">
        <w:rPr>
          <w:rFonts w:cs="Arial"/>
          <w:szCs w:val="22"/>
        </w:rPr>
        <w:t xml:space="preserve">little movement on </w:t>
      </w:r>
      <w:r>
        <w:rPr>
          <w:rFonts w:cs="Arial"/>
          <w:szCs w:val="22"/>
        </w:rPr>
        <w:t>locally led shared</w:t>
      </w:r>
      <w:r w:rsidR="00552CAD">
        <w:rPr>
          <w:rFonts w:cs="Arial"/>
          <w:szCs w:val="22"/>
        </w:rPr>
        <w:t xml:space="preserve"> services</w:t>
      </w:r>
      <w:r w:rsidRPr="00642464">
        <w:rPr>
          <w:rFonts w:cs="Arial"/>
          <w:szCs w:val="22"/>
        </w:rPr>
        <w:t>, and a National Audit Office review expected to raise concerns about the impact of local trading standards cuts on the overall consumer protection framework, the issue of regulatory structures could arise again in relation to post-Br</w:t>
      </w:r>
      <w:r>
        <w:rPr>
          <w:rFonts w:cs="Arial"/>
          <w:szCs w:val="22"/>
        </w:rPr>
        <w:t>exit regulation and enforcement. Changes in the legal framework could provide an opportunity to shift enforcement responsibilities away from local government, seemingly against the prevailing local government view indicated in the trading standards review.</w:t>
      </w:r>
    </w:p>
    <w:p w14:paraId="3C587C30" w14:textId="77777777" w:rsidR="00CE0F02" w:rsidRDefault="00CE0F02" w:rsidP="00CE0F02">
      <w:pPr>
        <w:pStyle w:val="ListParagraph"/>
        <w:rPr>
          <w:rFonts w:cs="Arial"/>
          <w:szCs w:val="22"/>
        </w:rPr>
      </w:pPr>
    </w:p>
    <w:p w14:paraId="29A1207F" w14:textId="77777777" w:rsidR="00CE0F02" w:rsidRPr="009012F0" w:rsidRDefault="00CE0F02" w:rsidP="00E85E5A">
      <w:pPr>
        <w:pStyle w:val="PlainText"/>
        <w:rPr>
          <w:rFonts w:cs="Arial"/>
          <w:b/>
          <w:i/>
          <w:szCs w:val="22"/>
        </w:rPr>
      </w:pPr>
      <w:r>
        <w:rPr>
          <w:rFonts w:cs="Arial"/>
          <w:b/>
          <w:i/>
          <w:szCs w:val="22"/>
        </w:rPr>
        <w:t>Establishing an LGA position on areas of regulatory services</w:t>
      </w:r>
    </w:p>
    <w:p w14:paraId="10C1F92F" w14:textId="77777777" w:rsidR="00E85E5A" w:rsidRDefault="00E85E5A" w:rsidP="00E85E5A">
      <w:pPr>
        <w:pStyle w:val="PlainText"/>
        <w:ind w:left="1021"/>
        <w:rPr>
          <w:rFonts w:cs="Arial"/>
          <w:szCs w:val="22"/>
        </w:rPr>
      </w:pPr>
    </w:p>
    <w:p w14:paraId="2568608F" w14:textId="50D25E78" w:rsidR="00CE0F02" w:rsidRPr="00642464" w:rsidRDefault="00CE0F02" w:rsidP="00E85E5A">
      <w:pPr>
        <w:pStyle w:val="PlainText"/>
        <w:numPr>
          <w:ilvl w:val="0"/>
          <w:numId w:val="4"/>
        </w:numPr>
        <w:rPr>
          <w:rFonts w:cs="Arial"/>
          <w:szCs w:val="22"/>
        </w:rPr>
      </w:pPr>
      <w:r>
        <w:rPr>
          <w:rFonts w:cs="Arial"/>
          <w:szCs w:val="22"/>
        </w:rPr>
        <w:t>Given the range and technical nature of much of the EU-led regulation in this area, we do not propose that the Board should reach a view on each</w:t>
      </w:r>
      <w:r w:rsidR="00B02D35">
        <w:rPr>
          <w:rFonts w:cs="Arial"/>
          <w:szCs w:val="22"/>
        </w:rPr>
        <w:t xml:space="preserve"> or even groups</w:t>
      </w:r>
      <w:r>
        <w:rPr>
          <w:rFonts w:cs="Arial"/>
          <w:szCs w:val="22"/>
        </w:rPr>
        <w:t xml:space="preserve"> of them. However, the</w:t>
      </w:r>
      <w:r w:rsidRPr="00642464">
        <w:rPr>
          <w:rFonts w:cs="Arial"/>
          <w:szCs w:val="22"/>
        </w:rPr>
        <w:t xml:space="preserve"> Board</w:t>
      </w:r>
      <w:r>
        <w:rPr>
          <w:rFonts w:cs="Arial"/>
          <w:szCs w:val="22"/>
        </w:rPr>
        <w:t xml:space="preserve"> </w:t>
      </w:r>
      <w:r w:rsidR="00552CAD">
        <w:rPr>
          <w:rFonts w:cs="Arial"/>
          <w:szCs w:val="22"/>
        </w:rPr>
        <w:t xml:space="preserve">will be </w:t>
      </w:r>
      <w:r>
        <w:rPr>
          <w:rFonts w:cs="Arial"/>
          <w:szCs w:val="22"/>
        </w:rPr>
        <w:t xml:space="preserve"> asked to give a general steer on any priority areas among the regulatory services areas affected</w:t>
      </w:r>
      <w:r w:rsidR="00552CAD">
        <w:rPr>
          <w:rFonts w:cs="Arial"/>
          <w:szCs w:val="22"/>
        </w:rPr>
        <w:t xml:space="preserve"> by the UK leaving the EU</w:t>
      </w:r>
      <w:r w:rsidRPr="00642464">
        <w:rPr>
          <w:rFonts w:cs="Arial"/>
          <w:szCs w:val="22"/>
        </w:rPr>
        <w:t>.</w:t>
      </w:r>
      <w:r>
        <w:rPr>
          <w:rFonts w:cs="Arial"/>
          <w:szCs w:val="22"/>
        </w:rPr>
        <w:t xml:space="preserve"> This will help to shape our LGA wide approach</w:t>
      </w:r>
      <w:r w:rsidR="00B02D35">
        <w:rPr>
          <w:rFonts w:cs="Arial"/>
          <w:szCs w:val="22"/>
        </w:rPr>
        <w:t xml:space="preserve"> to renegotiating the legal base for local government.</w:t>
      </w:r>
    </w:p>
    <w:p w14:paraId="304D1F2C" w14:textId="77777777" w:rsidR="00CE0F02" w:rsidRDefault="00CE0F02" w:rsidP="00E85E5A">
      <w:pPr>
        <w:pStyle w:val="PlainText"/>
        <w:ind w:left="360"/>
        <w:rPr>
          <w:rFonts w:cs="Arial"/>
          <w:szCs w:val="22"/>
        </w:rPr>
      </w:pPr>
    </w:p>
    <w:p w14:paraId="19B1B0EE" w14:textId="317EFB0F" w:rsidR="00CE0F02" w:rsidRDefault="00552CAD" w:rsidP="00E85E5A">
      <w:pPr>
        <w:pStyle w:val="PlainText"/>
        <w:numPr>
          <w:ilvl w:val="0"/>
          <w:numId w:val="4"/>
        </w:numPr>
        <w:rPr>
          <w:rFonts w:cs="Arial"/>
          <w:szCs w:val="22"/>
        </w:rPr>
      </w:pPr>
      <w:r>
        <w:rPr>
          <w:rFonts w:cs="Arial"/>
          <w:szCs w:val="22"/>
        </w:rPr>
        <w:t>T</w:t>
      </w:r>
      <w:r w:rsidR="00CE0F02">
        <w:rPr>
          <w:rFonts w:cs="Arial"/>
          <w:szCs w:val="22"/>
        </w:rPr>
        <w:t xml:space="preserve">he Board </w:t>
      </w:r>
      <w:r>
        <w:rPr>
          <w:rFonts w:cs="Arial"/>
          <w:szCs w:val="22"/>
        </w:rPr>
        <w:t xml:space="preserve">is also invited </w:t>
      </w:r>
      <w:r w:rsidR="00CE0F02">
        <w:rPr>
          <w:rFonts w:cs="Arial"/>
          <w:szCs w:val="22"/>
        </w:rPr>
        <w:t xml:space="preserve">to comment on a draft set of principles which can inform our future input in this area. These reflect </w:t>
      </w:r>
      <w:r w:rsidR="00B02D35">
        <w:rPr>
          <w:rFonts w:cs="Arial"/>
          <w:szCs w:val="22"/>
        </w:rPr>
        <w:t xml:space="preserve">the </w:t>
      </w:r>
      <w:r w:rsidR="00CE0F02">
        <w:rPr>
          <w:rFonts w:cs="Arial"/>
          <w:szCs w:val="22"/>
        </w:rPr>
        <w:t>concerns previously raised by the LGA in this area, as set out above, and would provide an overarching context for more detailed work at a technical level.</w:t>
      </w:r>
    </w:p>
    <w:p w14:paraId="50DD5B0C" w14:textId="77777777" w:rsidR="00CE0F02" w:rsidRDefault="00CE0F02" w:rsidP="00CE0F02">
      <w:pPr>
        <w:pStyle w:val="ListParagraph"/>
        <w:rPr>
          <w:rFonts w:cs="Arial"/>
          <w:szCs w:val="22"/>
        </w:rPr>
      </w:pPr>
    </w:p>
    <w:p w14:paraId="56FACB3A" w14:textId="6F7243A4" w:rsidR="00CE0F02" w:rsidRDefault="00CE0F02" w:rsidP="00E85E5A">
      <w:pPr>
        <w:pStyle w:val="PlainText"/>
        <w:numPr>
          <w:ilvl w:val="1"/>
          <w:numId w:val="4"/>
        </w:numPr>
        <w:rPr>
          <w:rFonts w:cs="Arial"/>
          <w:szCs w:val="22"/>
        </w:rPr>
      </w:pPr>
      <w:r>
        <w:rPr>
          <w:rFonts w:cs="Arial"/>
          <w:szCs w:val="22"/>
        </w:rPr>
        <w:t xml:space="preserve">There should be </w:t>
      </w:r>
      <w:r w:rsidRPr="00E85E5A">
        <w:rPr>
          <w:rFonts w:cs="Arial"/>
          <w:szCs w:val="22"/>
        </w:rPr>
        <w:t xml:space="preserve">a presumption in favour of reducing or refining the regulations overseen by councils </w:t>
      </w:r>
      <w:r>
        <w:rPr>
          <w:rFonts w:cs="Arial"/>
          <w:szCs w:val="22"/>
        </w:rPr>
        <w:t>where at all possible, in order to reduce the burdens on both councils and businesses.</w:t>
      </w:r>
    </w:p>
    <w:p w14:paraId="6E53512D" w14:textId="1B95F423" w:rsidR="00CE0F02" w:rsidRDefault="00CE0F02" w:rsidP="00E85E5A">
      <w:pPr>
        <w:pStyle w:val="PlainText"/>
        <w:numPr>
          <w:ilvl w:val="1"/>
          <w:numId w:val="4"/>
        </w:numPr>
        <w:rPr>
          <w:rFonts w:cs="Arial"/>
          <w:szCs w:val="22"/>
        </w:rPr>
      </w:pPr>
      <w:r>
        <w:rPr>
          <w:rFonts w:cs="Arial"/>
          <w:szCs w:val="22"/>
        </w:rPr>
        <w:t xml:space="preserve">There </w:t>
      </w:r>
      <w:r w:rsidRPr="00E85E5A">
        <w:rPr>
          <w:rFonts w:cs="Arial"/>
          <w:szCs w:val="22"/>
        </w:rPr>
        <w:t>should be a clear and demonstrable rationale for retaining individual regulations</w:t>
      </w:r>
      <w:r>
        <w:rPr>
          <w:rFonts w:cs="Arial"/>
          <w:szCs w:val="22"/>
        </w:rPr>
        <w:t xml:space="preserve">. In many cases, there will be strong public protection </w:t>
      </w:r>
      <w:r w:rsidR="00B02D35">
        <w:rPr>
          <w:rFonts w:cs="Arial"/>
          <w:szCs w:val="22"/>
        </w:rPr>
        <w:t>benefits from</w:t>
      </w:r>
      <w:r>
        <w:rPr>
          <w:rFonts w:cs="Arial"/>
          <w:szCs w:val="22"/>
        </w:rPr>
        <w:t xml:space="preserve"> retaining regulations</w:t>
      </w:r>
      <w:r w:rsidR="00B02D35">
        <w:rPr>
          <w:rFonts w:cs="Arial"/>
          <w:szCs w:val="22"/>
        </w:rPr>
        <w:t xml:space="preserve"> that are similar or identical to existing EU regulations.</w:t>
      </w:r>
      <w:r>
        <w:rPr>
          <w:rFonts w:cs="Arial"/>
          <w:szCs w:val="22"/>
        </w:rPr>
        <w:t xml:space="preserve"> A critical factor will be whether access to the single market will require the UK to comply with EU regulations, and the extent to which that is ultimately prioritised. But there may be some regulations which can be pared back or scrapped altogether, and we will work with officers and the professional bodies to assess the scope for this.</w:t>
      </w:r>
    </w:p>
    <w:p w14:paraId="0D5E14C6" w14:textId="26C1C953" w:rsidR="00CE0F02" w:rsidRDefault="00CE0F02" w:rsidP="00E85E5A">
      <w:pPr>
        <w:pStyle w:val="PlainText"/>
        <w:numPr>
          <w:ilvl w:val="1"/>
          <w:numId w:val="4"/>
        </w:numPr>
        <w:rPr>
          <w:rFonts w:cs="Arial"/>
          <w:szCs w:val="22"/>
        </w:rPr>
      </w:pPr>
      <w:r>
        <w:rPr>
          <w:rFonts w:cs="Arial"/>
          <w:szCs w:val="22"/>
        </w:rPr>
        <w:t xml:space="preserve">There should be </w:t>
      </w:r>
      <w:r w:rsidRPr="00E85E5A">
        <w:rPr>
          <w:rFonts w:cs="Arial"/>
          <w:szCs w:val="22"/>
        </w:rPr>
        <w:t>no barriers to councils being able to recover the cost of licences, regulation and enforcement from businesses</w:t>
      </w:r>
      <w:r>
        <w:rPr>
          <w:rFonts w:cs="Arial"/>
          <w:szCs w:val="22"/>
        </w:rPr>
        <w:t xml:space="preserve"> in specific sectors. Recent developments in the Hemming v Westminster licence fee court case, linked to the EU Services Directive, create a significant risk in this area</w:t>
      </w:r>
      <w:r w:rsidR="00B02D35">
        <w:rPr>
          <w:rFonts w:cs="Arial"/>
          <w:szCs w:val="22"/>
        </w:rPr>
        <w:t>: Brexit offers an important opportunity to correct this</w:t>
      </w:r>
      <w:r>
        <w:rPr>
          <w:rFonts w:cs="Arial"/>
          <w:szCs w:val="22"/>
        </w:rPr>
        <w:t>.</w:t>
      </w:r>
    </w:p>
    <w:p w14:paraId="6D4FB948" w14:textId="77777777" w:rsidR="00CE0F02" w:rsidRDefault="00CE0F02" w:rsidP="00E85E5A">
      <w:pPr>
        <w:pStyle w:val="PlainText"/>
        <w:numPr>
          <w:ilvl w:val="1"/>
          <w:numId w:val="4"/>
        </w:numPr>
        <w:rPr>
          <w:rFonts w:cs="Arial"/>
          <w:szCs w:val="22"/>
        </w:rPr>
      </w:pPr>
      <w:r>
        <w:rPr>
          <w:rFonts w:cs="Arial"/>
          <w:szCs w:val="22"/>
        </w:rPr>
        <w:lastRenderedPageBreak/>
        <w:t xml:space="preserve">Reflecting the views expressed in our trading standards review, </w:t>
      </w:r>
      <w:r w:rsidRPr="00E85E5A">
        <w:rPr>
          <w:rFonts w:cs="Arial"/>
          <w:szCs w:val="22"/>
        </w:rPr>
        <w:t>councils should retain a leading role for regulatory activity in their local areas.</w:t>
      </w:r>
      <w:r>
        <w:rPr>
          <w:rFonts w:cs="Arial"/>
          <w:szCs w:val="22"/>
        </w:rPr>
        <w:t xml:space="preserve"> </w:t>
      </w:r>
    </w:p>
    <w:p w14:paraId="2683F8B1" w14:textId="77777777" w:rsidR="00CE0F02" w:rsidRDefault="00CE0F02" w:rsidP="00E85E5A">
      <w:pPr>
        <w:pStyle w:val="PlainText"/>
        <w:numPr>
          <w:ilvl w:val="1"/>
          <w:numId w:val="4"/>
        </w:numPr>
        <w:rPr>
          <w:rFonts w:cs="Arial"/>
          <w:szCs w:val="22"/>
        </w:rPr>
      </w:pPr>
      <w:r w:rsidRPr="00E85E5A">
        <w:rPr>
          <w:rFonts w:cs="Arial"/>
          <w:szCs w:val="22"/>
        </w:rPr>
        <w:t>Any new burdens created through the renegotiation process must be fully funded.</w:t>
      </w:r>
    </w:p>
    <w:p w14:paraId="2FE869C1" w14:textId="77777777" w:rsidR="00CE0F02" w:rsidRDefault="00CE0F02" w:rsidP="00CE0F02">
      <w:pPr>
        <w:pStyle w:val="PlainText"/>
        <w:ind w:left="1224"/>
        <w:rPr>
          <w:rFonts w:cs="Arial"/>
          <w:szCs w:val="22"/>
        </w:rPr>
      </w:pPr>
    </w:p>
    <w:p w14:paraId="022DE796" w14:textId="3D51D7AE" w:rsidR="00CE0F02" w:rsidRPr="00653C25" w:rsidRDefault="00CE0F02" w:rsidP="00CE0F02">
      <w:pPr>
        <w:pStyle w:val="PlainText"/>
        <w:numPr>
          <w:ilvl w:val="1"/>
          <w:numId w:val="4"/>
        </w:numPr>
        <w:rPr>
          <w:rFonts w:cs="Arial"/>
          <w:szCs w:val="22"/>
        </w:rPr>
      </w:pPr>
      <w:r w:rsidRPr="00AA16F3">
        <w:rPr>
          <w:rFonts w:cs="Arial"/>
          <w:b/>
          <w:szCs w:val="22"/>
        </w:rPr>
        <w:t>The Board are asked to give their views on these guiding principles, and identify any priority areas</w:t>
      </w:r>
      <w:r w:rsidR="00653C25">
        <w:rPr>
          <w:rFonts w:cs="Arial"/>
          <w:b/>
          <w:szCs w:val="22"/>
        </w:rPr>
        <w:t xml:space="preserve"> for regulatory services</w:t>
      </w:r>
      <w:r w:rsidRPr="00AA16F3">
        <w:rPr>
          <w:rFonts w:cs="Arial"/>
          <w:b/>
          <w:szCs w:val="22"/>
        </w:rPr>
        <w:t>.</w:t>
      </w:r>
      <w:r w:rsidR="00653C25">
        <w:rPr>
          <w:rFonts w:cs="Arial"/>
          <w:b/>
          <w:szCs w:val="22"/>
        </w:rPr>
        <w:t xml:space="preserve"> </w:t>
      </w:r>
      <w:r w:rsidR="00653C25" w:rsidRPr="00653C25">
        <w:rPr>
          <w:rFonts w:cs="Arial"/>
          <w:szCs w:val="22"/>
        </w:rPr>
        <w:t>Officers propose</w:t>
      </w:r>
      <w:r w:rsidR="00653C25">
        <w:rPr>
          <w:rFonts w:cs="Arial"/>
          <w:szCs w:val="22"/>
        </w:rPr>
        <w:t xml:space="preserve"> that, subject to the eventual outcome of the Hemming case, removing any barriers</w:t>
      </w:r>
      <w:r w:rsidR="00653C25">
        <w:rPr>
          <w:rStyle w:val="FootnoteReference"/>
          <w:rFonts w:cs="Arial"/>
          <w:szCs w:val="22"/>
        </w:rPr>
        <w:footnoteReference w:id="2"/>
      </w:r>
      <w:r w:rsidR="00653C25">
        <w:rPr>
          <w:rFonts w:cs="Arial"/>
          <w:szCs w:val="22"/>
        </w:rPr>
        <w:t xml:space="preserve"> to charging upfront for enforcement activity at the point at which a licensing application is made should be a </w:t>
      </w:r>
      <w:r w:rsidR="00900E9E">
        <w:rPr>
          <w:rFonts w:cs="Arial"/>
          <w:szCs w:val="22"/>
        </w:rPr>
        <w:t>key</w:t>
      </w:r>
      <w:r w:rsidR="00653C25">
        <w:rPr>
          <w:rFonts w:cs="Arial"/>
          <w:szCs w:val="22"/>
        </w:rPr>
        <w:t xml:space="preserve"> priority.</w:t>
      </w:r>
    </w:p>
    <w:p w14:paraId="37261F00" w14:textId="77777777" w:rsidR="00DE095E" w:rsidRDefault="00DE095E" w:rsidP="00DE095E">
      <w:pPr>
        <w:pStyle w:val="PlainText"/>
        <w:ind w:left="360"/>
        <w:rPr>
          <w:rFonts w:cs="Arial"/>
          <w:szCs w:val="22"/>
        </w:rPr>
      </w:pPr>
    </w:p>
    <w:p w14:paraId="69F07500" w14:textId="77777777" w:rsidR="00010D20" w:rsidRPr="0087344C" w:rsidRDefault="00E400F9" w:rsidP="00010D20">
      <w:pPr>
        <w:pStyle w:val="PlainText"/>
        <w:rPr>
          <w:rFonts w:cs="Arial"/>
          <w:b/>
          <w:szCs w:val="22"/>
        </w:rPr>
      </w:pPr>
      <w:r>
        <w:rPr>
          <w:rFonts w:cs="Arial"/>
          <w:b/>
          <w:szCs w:val="22"/>
        </w:rPr>
        <w:t>Specific w</w:t>
      </w:r>
      <w:r w:rsidR="00010D20">
        <w:rPr>
          <w:rFonts w:cs="Arial"/>
          <w:b/>
          <w:szCs w:val="22"/>
        </w:rPr>
        <w:t xml:space="preserve">ork of </w:t>
      </w:r>
      <w:r w:rsidR="003E17D5">
        <w:rPr>
          <w:rFonts w:cs="Arial"/>
          <w:b/>
          <w:szCs w:val="22"/>
        </w:rPr>
        <w:t>relevance to this Board’s remit</w:t>
      </w:r>
    </w:p>
    <w:p w14:paraId="48C56807" w14:textId="77777777" w:rsidR="00010D20" w:rsidRDefault="00010D20" w:rsidP="00010D20">
      <w:pPr>
        <w:pStyle w:val="PlainText"/>
        <w:rPr>
          <w:rFonts w:cs="Arial"/>
          <w:szCs w:val="22"/>
        </w:rPr>
      </w:pPr>
    </w:p>
    <w:p w14:paraId="5834A504" w14:textId="32259673" w:rsidR="003E17D5" w:rsidRPr="003E17D5" w:rsidRDefault="00B02D35" w:rsidP="003E17D5">
      <w:pPr>
        <w:pStyle w:val="PlainText"/>
        <w:numPr>
          <w:ilvl w:val="0"/>
          <w:numId w:val="4"/>
        </w:numPr>
        <w:rPr>
          <w:rFonts w:cs="Arial"/>
          <w:szCs w:val="22"/>
        </w:rPr>
      </w:pPr>
      <w:r>
        <w:rPr>
          <w:rFonts w:cs="Arial"/>
          <w:szCs w:val="22"/>
        </w:rPr>
        <w:t>Alongside Brexit and other corporate work, L</w:t>
      </w:r>
      <w:r w:rsidR="001863C9">
        <w:rPr>
          <w:rFonts w:cs="Arial"/>
          <w:szCs w:val="22"/>
        </w:rPr>
        <w:t>GA B</w:t>
      </w:r>
      <w:r w:rsidR="00ED6E75" w:rsidRPr="003E17D5">
        <w:rPr>
          <w:rFonts w:cs="Arial"/>
          <w:szCs w:val="22"/>
        </w:rPr>
        <w:t>oards will continue to develop specific work within their policy areas</w:t>
      </w:r>
      <w:r w:rsidR="00543307">
        <w:rPr>
          <w:rFonts w:cs="Arial"/>
          <w:szCs w:val="22"/>
        </w:rPr>
        <w:t xml:space="preserve">. </w:t>
      </w:r>
      <w:r w:rsidR="00543307" w:rsidRPr="00010D20">
        <w:rPr>
          <w:rFonts w:cs="Arial"/>
          <w:szCs w:val="22"/>
        </w:rPr>
        <w:t xml:space="preserve">These </w:t>
      </w:r>
      <w:r w:rsidR="00543307">
        <w:rPr>
          <w:rFonts w:cs="Arial"/>
          <w:szCs w:val="22"/>
        </w:rPr>
        <w:t xml:space="preserve">priorities will </w:t>
      </w:r>
      <w:r w:rsidR="00543307" w:rsidRPr="00010D20">
        <w:rPr>
          <w:rFonts w:cs="Arial"/>
          <w:szCs w:val="22"/>
        </w:rPr>
        <w:t>be reported back to the</w:t>
      </w:r>
      <w:r w:rsidR="00543307">
        <w:rPr>
          <w:rFonts w:cs="Arial"/>
          <w:szCs w:val="22"/>
        </w:rPr>
        <w:t xml:space="preserve"> LGA</w:t>
      </w:r>
      <w:r w:rsidR="00543307" w:rsidRPr="00010D20">
        <w:rPr>
          <w:rFonts w:cs="Arial"/>
          <w:szCs w:val="22"/>
        </w:rPr>
        <w:t xml:space="preserve"> Executive.</w:t>
      </w:r>
    </w:p>
    <w:p w14:paraId="76AB6770" w14:textId="77777777" w:rsidR="00251ECB" w:rsidRPr="00251ECB" w:rsidRDefault="00251ECB" w:rsidP="001863C9">
      <w:pPr>
        <w:pStyle w:val="PlainText"/>
        <w:ind w:left="360"/>
        <w:rPr>
          <w:rFonts w:cs="Arial"/>
          <w:szCs w:val="22"/>
        </w:rPr>
      </w:pPr>
    </w:p>
    <w:p w14:paraId="28AC1D7D" w14:textId="0D99D894" w:rsidR="00251ECB" w:rsidRPr="000529B7" w:rsidRDefault="001863C9" w:rsidP="000529B7">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The draft priorities outlined below suggest</w:t>
      </w:r>
      <w:r w:rsidR="00251ECB">
        <w:rPr>
          <w:rFonts w:ascii="Arial" w:hAnsi="Arial" w:cs="Arial"/>
          <w:sz w:val="22"/>
          <w:szCs w:val="22"/>
        </w:rPr>
        <w:t xml:space="preserve"> </w:t>
      </w:r>
      <w:r w:rsidR="00E918F5">
        <w:rPr>
          <w:rFonts w:ascii="Arial" w:hAnsi="Arial" w:cs="Arial"/>
          <w:sz w:val="22"/>
          <w:szCs w:val="22"/>
        </w:rPr>
        <w:t>five</w:t>
      </w:r>
      <w:r w:rsidR="000529B7">
        <w:rPr>
          <w:rFonts w:ascii="Arial" w:hAnsi="Arial" w:cs="Arial"/>
          <w:sz w:val="22"/>
          <w:szCs w:val="22"/>
        </w:rPr>
        <w:t xml:space="preserve"> </w:t>
      </w:r>
      <w:r w:rsidR="00251ECB" w:rsidRPr="000529B7">
        <w:rPr>
          <w:rFonts w:ascii="Arial" w:hAnsi="Arial" w:cs="Arial"/>
          <w:sz w:val="22"/>
          <w:szCs w:val="22"/>
        </w:rPr>
        <w:t>key overarching themes</w:t>
      </w:r>
      <w:r>
        <w:rPr>
          <w:rFonts w:ascii="Arial" w:hAnsi="Arial" w:cs="Arial"/>
          <w:sz w:val="22"/>
          <w:szCs w:val="22"/>
        </w:rPr>
        <w:t xml:space="preserve"> for the B</w:t>
      </w:r>
      <w:r w:rsidR="00840A1F">
        <w:rPr>
          <w:rFonts w:ascii="Arial" w:hAnsi="Arial" w:cs="Arial"/>
          <w:sz w:val="22"/>
          <w:szCs w:val="22"/>
        </w:rPr>
        <w:t>oard</w:t>
      </w:r>
      <w:r>
        <w:rPr>
          <w:rFonts w:ascii="Arial" w:hAnsi="Arial" w:cs="Arial"/>
          <w:sz w:val="22"/>
          <w:szCs w:val="22"/>
        </w:rPr>
        <w:t xml:space="preserve"> this year, and a series of activities underpinning each of them</w:t>
      </w:r>
      <w:r w:rsidR="00251ECB" w:rsidRPr="000529B7">
        <w:rPr>
          <w:rFonts w:ascii="Arial" w:hAnsi="Arial" w:cs="Arial"/>
          <w:sz w:val="22"/>
          <w:szCs w:val="22"/>
        </w:rPr>
        <w:t xml:space="preserve">: </w:t>
      </w:r>
    </w:p>
    <w:p w14:paraId="6DF40A2A" w14:textId="77777777" w:rsidR="004314FD" w:rsidRDefault="004314FD" w:rsidP="004314FD">
      <w:pPr>
        <w:pStyle w:val="ListParagraph"/>
        <w:autoSpaceDE w:val="0"/>
        <w:autoSpaceDN w:val="0"/>
        <w:adjustRightInd w:val="0"/>
        <w:ind w:left="1021"/>
        <w:rPr>
          <w:rFonts w:ascii="Arial" w:hAnsi="Arial" w:cs="Arial"/>
          <w:sz w:val="22"/>
          <w:szCs w:val="22"/>
        </w:rPr>
      </w:pPr>
    </w:p>
    <w:p w14:paraId="4636F195" w14:textId="41C18707" w:rsidR="008B1462" w:rsidRDefault="009A1AD3" w:rsidP="009A1AD3">
      <w:pPr>
        <w:pStyle w:val="ListParagraph"/>
        <w:numPr>
          <w:ilvl w:val="1"/>
          <w:numId w:val="4"/>
        </w:numPr>
        <w:autoSpaceDE w:val="0"/>
        <w:autoSpaceDN w:val="0"/>
        <w:adjustRightInd w:val="0"/>
        <w:rPr>
          <w:rFonts w:ascii="Arial" w:hAnsi="Arial" w:cs="Arial"/>
          <w:sz w:val="22"/>
          <w:szCs w:val="22"/>
        </w:rPr>
      </w:pPr>
      <w:r>
        <w:rPr>
          <w:rFonts w:ascii="Arial" w:hAnsi="Arial" w:cs="Arial"/>
          <w:b/>
          <w:sz w:val="22"/>
          <w:szCs w:val="22"/>
          <w:u w:val="single"/>
        </w:rPr>
        <w:t>Prevent, counter</w:t>
      </w:r>
      <w:r w:rsidRPr="009A1AD3">
        <w:rPr>
          <w:rFonts w:ascii="Arial" w:hAnsi="Arial" w:cs="Arial"/>
          <w:b/>
          <w:sz w:val="22"/>
          <w:szCs w:val="22"/>
          <w:u w:val="single"/>
        </w:rPr>
        <w:t>-extremism and cohesion</w:t>
      </w:r>
      <w:r>
        <w:rPr>
          <w:rFonts w:ascii="Arial" w:hAnsi="Arial" w:cs="Arial"/>
          <w:sz w:val="22"/>
          <w:szCs w:val="22"/>
        </w:rPr>
        <w:t xml:space="preserve"> </w:t>
      </w:r>
    </w:p>
    <w:p w14:paraId="44DEB293" w14:textId="77777777" w:rsidR="004314FD" w:rsidRDefault="004314FD" w:rsidP="004314FD">
      <w:pPr>
        <w:pStyle w:val="ListParagraph"/>
        <w:autoSpaceDE w:val="0"/>
        <w:autoSpaceDN w:val="0"/>
        <w:adjustRightInd w:val="0"/>
        <w:ind w:left="1021"/>
        <w:rPr>
          <w:rFonts w:ascii="Arial" w:hAnsi="Arial" w:cs="Arial"/>
          <w:sz w:val="22"/>
          <w:szCs w:val="22"/>
        </w:rPr>
      </w:pPr>
    </w:p>
    <w:p w14:paraId="2E759C40" w14:textId="122FBB83" w:rsidR="006B478D" w:rsidRPr="00E85E5A" w:rsidRDefault="006B478D" w:rsidP="00E85E5A">
      <w:pPr>
        <w:pStyle w:val="PlainText"/>
        <w:numPr>
          <w:ilvl w:val="2"/>
          <w:numId w:val="4"/>
        </w:numPr>
        <w:ind w:left="1560" w:hanging="840"/>
        <w:rPr>
          <w:rFonts w:cs="Arial"/>
          <w:szCs w:val="22"/>
        </w:rPr>
      </w:pPr>
      <w:r w:rsidRPr="00E85E5A">
        <w:rPr>
          <w:rFonts w:cs="Arial"/>
          <w:szCs w:val="22"/>
        </w:rPr>
        <w:t xml:space="preserve">In conjunction with the Home Office, we will support a series of regional workshops for councillors on the issues of </w:t>
      </w:r>
      <w:r w:rsidR="00AA16F3" w:rsidRPr="00E85E5A">
        <w:rPr>
          <w:rFonts w:cs="Arial"/>
          <w:szCs w:val="22"/>
        </w:rPr>
        <w:t xml:space="preserve">counter-extremism and Prevent to </w:t>
      </w:r>
      <w:r w:rsidRPr="00E85E5A">
        <w:rPr>
          <w:rFonts w:cs="Arial"/>
          <w:szCs w:val="22"/>
        </w:rPr>
        <w:t>help increase understanding of the issues and how to have difficult conversations with comm</w:t>
      </w:r>
      <w:r w:rsidR="00AA16F3" w:rsidRPr="00E85E5A">
        <w:rPr>
          <w:rFonts w:cs="Arial"/>
          <w:szCs w:val="22"/>
        </w:rPr>
        <w:t xml:space="preserve">unities. We </w:t>
      </w:r>
      <w:r w:rsidRPr="00E85E5A">
        <w:rPr>
          <w:rFonts w:cs="Arial"/>
          <w:szCs w:val="22"/>
        </w:rPr>
        <w:t xml:space="preserve">will </w:t>
      </w:r>
      <w:r w:rsidR="00AA16F3" w:rsidRPr="00E85E5A">
        <w:rPr>
          <w:rFonts w:cs="Arial"/>
          <w:szCs w:val="22"/>
        </w:rPr>
        <w:t>also be training Prevent member champions</w:t>
      </w:r>
      <w:r w:rsidR="00B02D35" w:rsidRPr="00E85E5A">
        <w:rPr>
          <w:rFonts w:cs="Arial"/>
          <w:szCs w:val="22"/>
        </w:rPr>
        <w:t>, inputting</w:t>
      </w:r>
      <w:r w:rsidR="00AA16F3" w:rsidRPr="00E85E5A">
        <w:rPr>
          <w:rFonts w:cs="Arial"/>
          <w:szCs w:val="22"/>
        </w:rPr>
        <w:t xml:space="preserve"> to the Home Office on guidance around Prevent and counter-extremism and are working with Luton, the Home Office and DCLG on support for councils to enable them to share good practice.</w:t>
      </w:r>
    </w:p>
    <w:p w14:paraId="70F81DD6" w14:textId="58FCD5BC" w:rsidR="00E918F5" w:rsidRPr="00E85E5A" w:rsidRDefault="00E918F5" w:rsidP="00E85E5A">
      <w:pPr>
        <w:pStyle w:val="PlainText"/>
        <w:numPr>
          <w:ilvl w:val="2"/>
          <w:numId w:val="4"/>
        </w:numPr>
        <w:ind w:left="1560" w:hanging="840"/>
        <w:rPr>
          <w:rFonts w:cs="Arial"/>
          <w:szCs w:val="22"/>
        </w:rPr>
      </w:pPr>
      <w:r w:rsidRPr="00E85E5A">
        <w:rPr>
          <w:rFonts w:cs="Arial"/>
          <w:szCs w:val="22"/>
        </w:rPr>
        <w:t xml:space="preserve">Following on from the referendum campaign and evidence that this has prompted an increase in hate crime, we will </w:t>
      </w:r>
      <w:r w:rsidR="00B02D35" w:rsidRPr="00E85E5A">
        <w:rPr>
          <w:rFonts w:cs="Arial"/>
          <w:szCs w:val="22"/>
        </w:rPr>
        <w:t>re</w:t>
      </w:r>
      <w:r w:rsidRPr="00E85E5A">
        <w:rPr>
          <w:rFonts w:cs="Arial"/>
          <w:szCs w:val="22"/>
        </w:rPr>
        <w:t>fresh and update the LGA’s guidance on building cohesive communities. We wil</w:t>
      </w:r>
      <w:r w:rsidR="00B02D35" w:rsidRPr="00E85E5A">
        <w:rPr>
          <w:rFonts w:cs="Arial"/>
          <w:szCs w:val="22"/>
        </w:rPr>
        <w:t>l respond to the Casey review on</w:t>
      </w:r>
      <w:r w:rsidRPr="00E85E5A">
        <w:rPr>
          <w:rFonts w:cs="Arial"/>
          <w:szCs w:val="22"/>
        </w:rPr>
        <w:t xml:space="preserve"> community cohesion </w:t>
      </w:r>
      <w:r w:rsidR="00B02D35" w:rsidRPr="00E85E5A">
        <w:rPr>
          <w:rFonts w:cs="Arial"/>
          <w:szCs w:val="22"/>
        </w:rPr>
        <w:t xml:space="preserve">and integration </w:t>
      </w:r>
      <w:r w:rsidRPr="00E85E5A">
        <w:rPr>
          <w:rFonts w:cs="Arial"/>
          <w:szCs w:val="22"/>
        </w:rPr>
        <w:t>as and when this is published, and work to ensure that the role of local government is</w:t>
      </w:r>
      <w:r w:rsidR="00B02D35" w:rsidRPr="00E85E5A">
        <w:rPr>
          <w:rFonts w:cs="Arial"/>
          <w:szCs w:val="22"/>
        </w:rPr>
        <w:t xml:space="preserve"> properly</w:t>
      </w:r>
      <w:r w:rsidRPr="00E85E5A">
        <w:rPr>
          <w:rFonts w:cs="Arial"/>
          <w:szCs w:val="22"/>
        </w:rPr>
        <w:t xml:space="preserve"> reflected</w:t>
      </w:r>
      <w:r w:rsidR="00B02D35" w:rsidRPr="00E85E5A">
        <w:rPr>
          <w:rFonts w:cs="Arial"/>
          <w:szCs w:val="22"/>
        </w:rPr>
        <w:t xml:space="preserve"> and funded </w:t>
      </w:r>
      <w:r w:rsidRPr="00E85E5A">
        <w:rPr>
          <w:rFonts w:cs="Arial"/>
          <w:szCs w:val="22"/>
        </w:rPr>
        <w:t>in any subsequent government work.</w:t>
      </w:r>
    </w:p>
    <w:p w14:paraId="799D8BBB" w14:textId="2F1C3DD8" w:rsidR="004314FD" w:rsidRPr="00E85E5A" w:rsidRDefault="00A27B04" w:rsidP="00E85E5A">
      <w:pPr>
        <w:pStyle w:val="PlainText"/>
        <w:numPr>
          <w:ilvl w:val="2"/>
          <w:numId w:val="4"/>
        </w:numPr>
        <w:ind w:left="1560" w:hanging="840"/>
        <w:rPr>
          <w:rFonts w:cs="Arial"/>
          <w:szCs w:val="22"/>
        </w:rPr>
      </w:pPr>
      <w:r w:rsidRPr="00E85E5A">
        <w:rPr>
          <w:rFonts w:cs="Arial"/>
          <w:szCs w:val="22"/>
        </w:rPr>
        <w:t xml:space="preserve">With Government committed to publishing a new overarching Contest strategy later this year, we will review the strategy to consider the implications for councils and </w:t>
      </w:r>
      <w:r w:rsidR="00B02D35" w:rsidRPr="00E85E5A">
        <w:rPr>
          <w:rFonts w:cs="Arial"/>
          <w:szCs w:val="22"/>
        </w:rPr>
        <w:t>Prevent.</w:t>
      </w:r>
      <w:r w:rsidRPr="00E85E5A">
        <w:rPr>
          <w:rFonts w:cs="Arial"/>
          <w:szCs w:val="22"/>
        </w:rPr>
        <w:t xml:space="preserve"> </w:t>
      </w:r>
    </w:p>
    <w:p w14:paraId="2C0681D7" w14:textId="77777777" w:rsidR="00AE03AE" w:rsidRDefault="00AE03AE" w:rsidP="00AE03AE">
      <w:pPr>
        <w:pStyle w:val="ListParagraph"/>
        <w:autoSpaceDE w:val="0"/>
        <w:autoSpaceDN w:val="0"/>
        <w:adjustRightInd w:val="0"/>
        <w:ind w:left="1224"/>
        <w:rPr>
          <w:rFonts w:ascii="Arial" w:hAnsi="Arial" w:cs="Arial"/>
          <w:sz w:val="22"/>
          <w:szCs w:val="22"/>
        </w:rPr>
      </w:pPr>
    </w:p>
    <w:p w14:paraId="10AFE728" w14:textId="6C3DCDEE" w:rsidR="00A27B04" w:rsidRDefault="00A27B04" w:rsidP="00A27B04">
      <w:pPr>
        <w:pStyle w:val="ListParagraph"/>
        <w:numPr>
          <w:ilvl w:val="1"/>
          <w:numId w:val="4"/>
        </w:numPr>
        <w:autoSpaceDE w:val="0"/>
        <w:autoSpaceDN w:val="0"/>
        <w:adjustRightInd w:val="0"/>
        <w:rPr>
          <w:rFonts w:ascii="Arial" w:hAnsi="Arial" w:cs="Arial"/>
          <w:sz w:val="22"/>
          <w:szCs w:val="22"/>
        </w:rPr>
      </w:pPr>
      <w:r>
        <w:rPr>
          <w:rFonts w:ascii="Arial" w:hAnsi="Arial" w:cs="Arial"/>
          <w:b/>
          <w:sz w:val="22"/>
          <w:szCs w:val="22"/>
          <w:u w:val="single"/>
        </w:rPr>
        <w:t>Community safety</w:t>
      </w:r>
      <w:r w:rsidRPr="00A24D76">
        <w:rPr>
          <w:rFonts w:ascii="Arial" w:hAnsi="Arial" w:cs="Arial"/>
          <w:sz w:val="22"/>
          <w:szCs w:val="22"/>
        </w:rPr>
        <w:t xml:space="preserve"> </w:t>
      </w:r>
    </w:p>
    <w:p w14:paraId="47439909" w14:textId="77777777" w:rsidR="00A27B04" w:rsidRPr="00A24D76" w:rsidRDefault="00A27B04" w:rsidP="00A27B04">
      <w:pPr>
        <w:pStyle w:val="ListParagraph"/>
        <w:rPr>
          <w:rFonts w:ascii="Arial" w:hAnsi="Arial" w:cs="Arial"/>
          <w:sz w:val="22"/>
          <w:szCs w:val="22"/>
        </w:rPr>
      </w:pPr>
    </w:p>
    <w:p w14:paraId="0752CE42" w14:textId="77777777" w:rsidR="00A27B04" w:rsidRPr="00B72B67" w:rsidRDefault="00A27B04" w:rsidP="00E85E5A">
      <w:pPr>
        <w:pStyle w:val="ListParagraph"/>
        <w:numPr>
          <w:ilvl w:val="2"/>
          <w:numId w:val="10"/>
        </w:numPr>
        <w:autoSpaceDE w:val="0"/>
        <w:autoSpaceDN w:val="0"/>
        <w:ind w:left="1560" w:hanging="840"/>
        <w:rPr>
          <w:rFonts w:ascii="Arial" w:hAnsi="Arial" w:cs="Arial"/>
          <w:sz w:val="22"/>
          <w:szCs w:val="22"/>
        </w:rPr>
      </w:pPr>
      <w:r w:rsidRPr="00B72B67">
        <w:rPr>
          <w:rFonts w:ascii="Arial" w:hAnsi="Arial" w:cs="Arial"/>
          <w:sz w:val="22"/>
          <w:szCs w:val="22"/>
        </w:rPr>
        <w:t xml:space="preserve">We will continue our work with the National FGM Centre.  We will take forward research into the costs of domestic violence with a view to promoting the case for investment in services. We will respond and support councils in relation to the planned ‘National Statement of Expectation’ by the government on domestic violence, as well as </w:t>
      </w:r>
      <w:r w:rsidRPr="00B72B67">
        <w:rPr>
          <w:rFonts w:ascii="Arial" w:hAnsi="Arial" w:cs="Arial"/>
          <w:sz w:val="22"/>
          <w:szCs w:val="22"/>
        </w:rPr>
        <w:lastRenderedPageBreak/>
        <w:t xml:space="preserve">undertaking work on co-commissioning of refuge provision by councils. </w:t>
      </w:r>
    </w:p>
    <w:p w14:paraId="0EBF613E" w14:textId="77777777" w:rsidR="00A27B04" w:rsidRPr="00B72B67" w:rsidRDefault="00A27B04" w:rsidP="00E85E5A">
      <w:pPr>
        <w:pStyle w:val="ListParagraph"/>
        <w:numPr>
          <w:ilvl w:val="2"/>
          <w:numId w:val="10"/>
        </w:numPr>
        <w:autoSpaceDE w:val="0"/>
        <w:autoSpaceDN w:val="0"/>
        <w:ind w:left="1560" w:hanging="840"/>
        <w:rPr>
          <w:rFonts w:ascii="Arial" w:hAnsi="Arial" w:cs="Arial"/>
          <w:sz w:val="22"/>
          <w:szCs w:val="22"/>
        </w:rPr>
      </w:pPr>
      <w:r w:rsidRPr="00B72B67">
        <w:rPr>
          <w:rFonts w:ascii="Arial" w:hAnsi="Arial" w:cs="Arial"/>
          <w:sz w:val="22"/>
          <w:szCs w:val="22"/>
        </w:rPr>
        <w:t xml:space="preserve">We will develop guidance for councils on effective implementation of Public Space Protection Orders.   </w:t>
      </w:r>
    </w:p>
    <w:p w14:paraId="5F0241E4" w14:textId="77777777" w:rsidR="00A27B04" w:rsidRDefault="00A27B04" w:rsidP="00E85E5A">
      <w:pPr>
        <w:pStyle w:val="ListParagraph"/>
        <w:numPr>
          <w:ilvl w:val="2"/>
          <w:numId w:val="10"/>
        </w:numPr>
        <w:autoSpaceDE w:val="0"/>
        <w:autoSpaceDN w:val="0"/>
        <w:ind w:left="1560" w:hanging="840"/>
        <w:rPr>
          <w:rFonts w:ascii="Arial" w:hAnsi="Arial" w:cs="Arial"/>
          <w:sz w:val="22"/>
          <w:szCs w:val="22"/>
        </w:rPr>
      </w:pPr>
      <w:r w:rsidRPr="00B72B67">
        <w:rPr>
          <w:rFonts w:ascii="Arial" w:hAnsi="Arial" w:cs="Arial"/>
          <w:sz w:val="22"/>
          <w:szCs w:val="22"/>
        </w:rPr>
        <w:t>A review into the future of community safety services in councils will consider the impact of budget cuts on local community safety services and how councils can respond to this.</w:t>
      </w:r>
    </w:p>
    <w:p w14:paraId="74A6B4C5" w14:textId="77777777" w:rsidR="00A27B04" w:rsidRDefault="00A27B04" w:rsidP="00AE03AE">
      <w:pPr>
        <w:pStyle w:val="ListParagraph"/>
        <w:autoSpaceDE w:val="0"/>
        <w:autoSpaceDN w:val="0"/>
        <w:adjustRightInd w:val="0"/>
        <w:ind w:left="1224"/>
        <w:rPr>
          <w:rFonts w:ascii="Arial" w:hAnsi="Arial" w:cs="Arial"/>
          <w:sz w:val="22"/>
          <w:szCs w:val="22"/>
        </w:rPr>
      </w:pPr>
    </w:p>
    <w:p w14:paraId="3A71EDD1" w14:textId="764BC302" w:rsidR="00AE03AE" w:rsidRDefault="00AE03AE" w:rsidP="00AE03AE">
      <w:pPr>
        <w:pStyle w:val="ListParagraph"/>
        <w:numPr>
          <w:ilvl w:val="1"/>
          <w:numId w:val="4"/>
        </w:numPr>
        <w:autoSpaceDE w:val="0"/>
        <w:autoSpaceDN w:val="0"/>
        <w:adjustRightInd w:val="0"/>
        <w:rPr>
          <w:rFonts w:ascii="Arial" w:hAnsi="Arial" w:cs="Arial"/>
          <w:sz w:val="22"/>
          <w:szCs w:val="22"/>
        </w:rPr>
      </w:pPr>
      <w:r w:rsidRPr="009A1AD3">
        <w:rPr>
          <w:rFonts w:ascii="Arial" w:hAnsi="Arial" w:cs="Arial"/>
          <w:b/>
          <w:sz w:val="22"/>
          <w:szCs w:val="22"/>
          <w:u w:val="single"/>
        </w:rPr>
        <w:t xml:space="preserve">Blue light services </w:t>
      </w:r>
    </w:p>
    <w:p w14:paraId="3FBD3554" w14:textId="77777777" w:rsidR="00AE03AE" w:rsidRDefault="00AE03AE" w:rsidP="00AE03AE">
      <w:pPr>
        <w:pStyle w:val="ListParagraph"/>
        <w:autoSpaceDE w:val="0"/>
        <w:autoSpaceDN w:val="0"/>
        <w:adjustRightInd w:val="0"/>
        <w:ind w:left="1021"/>
        <w:rPr>
          <w:rFonts w:ascii="Arial" w:hAnsi="Arial" w:cs="Arial"/>
          <w:sz w:val="22"/>
          <w:szCs w:val="22"/>
        </w:rPr>
      </w:pPr>
    </w:p>
    <w:p w14:paraId="58B3BF84" w14:textId="1E05E7ED" w:rsidR="00AE03AE" w:rsidRDefault="00AE03AE" w:rsidP="00E85E5A">
      <w:pPr>
        <w:pStyle w:val="ListParagraph"/>
        <w:numPr>
          <w:ilvl w:val="2"/>
          <w:numId w:val="10"/>
        </w:numPr>
        <w:autoSpaceDE w:val="0"/>
        <w:autoSpaceDN w:val="0"/>
        <w:ind w:left="1560" w:hanging="840"/>
        <w:rPr>
          <w:rFonts w:ascii="Arial" w:hAnsi="Arial" w:cs="Arial"/>
          <w:sz w:val="22"/>
          <w:szCs w:val="22"/>
        </w:rPr>
      </w:pPr>
      <w:r>
        <w:rPr>
          <w:rFonts w:ascii="Arial" w:hAnsi="Arial" w:cs="Arial"/>
          <w:sz w:val="22"/>
          <w:szCs w:val="22"/>
        </w:rPr>
        <w:t xml:space="preserve">We will maintain our lobbying around proposals for Police and Crime Commissioners to assume responsibility for fire and rescue services, to ensure that any such changes are based upon local agreement. </w:t>
      </w:r>
      <w:r w:rsidR="00D70707">
        <w:rPr>
          <w:rFonts w:ascii="Arial" w:hAnsi="Arial" w:cs="Arial"/>
          <w:sz w:val="22"/>
          <w:szCs w:val="22"/>
        </w:rPr>
        <w:t xml:space="preserve">We will also contribute to the effective development of new models of devolution and emergency services, in terms of the links between PCCs and FRAs and </w:t>
      </w:r>
      <w:r w:rsidR="00840A1F">
        <w:rPr>
          <w:rFonts w:ascii="Arial" w:hAnsi="Arial" w:cs="Arial"/>
          <w:sz w:val="22"/>
          <w:szCs w:val="22"/>
        </w:rPr>
        <w:t xml:space="preserve">the </w:t>
      </w:r>
      <w:r w:rsidR="00D70707">
        <w:rPr>
          <w:rFonts w:ascii="Arial" w:hAnsi="Arial" w:cs="Arial"/>
          <w:sz w:val="22"/>
          <w:szCs w:val="22"/>
        </w:rPr>
        <w:t>creation of metro mayors.</w:t>
      </w:r>
    </w:p>
    <w:p w14:paraId="02C7094B" w14:textId="77777777" w:rsidR="00AE03AE" w:rsidRDefault="00772355" w:rsidP="00E85E5A">
      <w:pPr>
        <w:pStyle w:val="ListParagraph"/>
        <w:numPr>
          <w:ilvl w:val="2"/>
          <w:numId w:val="10"/>
        </w:numPr>
        <w:autoSpaceDE w:val="0"/>
        <w:autoSpaceDN w:val="0"/>
        <w:ind w:left="1560" w:hanging="840"/>
        <w:rPr>
          <w:rFonts w:ascii="Arial" w:hAnsi="Arial" w:cs="Arial"/>
          <w:sz w:val="22"/>
          <w:szCs w:val="22"/>
        </w:rPr>
      </w:pPr>
      <w:r>
        <w:rPr>
          <w:rFonts w:ascii="Arial" w:hAnsi="Arial" w:cs="Arial"/>
          <w:sz w:val="22"/>
          <w:szCs w:val="22"/>
        </w:rPr>
        <w:t>Fire Services Management Committee’s priorities mean w</w:t>
      </w:r>
      <w:r w:rsidR="00AE03AE">
        <w:rPr>
          <w:rFonts w:ascii="Arial" w:hAnsi="Arial" w:cs="Arial"/>
          <w:sz w:val="22"/>
          <w:szCs w:val="22"/>
        </w:rPr>
        <w:t xml:space="preserve">e will continue to support work on fire reform and represent the views of FRAs, in relation to collaboration with the police and health services, improving equality and diversity, proposals for a fire inspectorate and greater transparency of fire services data.  </w:t>
      </w:r>
    </w:p>
    <w:p w14:paraId="28BC29A9" w14:textId="715F43FB" w:rsidR="00AE03AE" w:rsidRDefault="00AE03AE" w:rsidP="00E85E5A">
      <w:pPr>
        <w:pStyle w:val="ListParagraph"/>
        <w:numPr>
          <w:ilvl w:val="2"/>
          <w:numId w:val="10"/>
        </w:numPr>
        <w:autoSpaceDE w:val="0"/>
        <w:autoSpaceDN w:val="0"/>
        <w:ind w:left="1560" w:hanging="840"/>
        <w:rPr>
          <w:rFonts w:ascii="Arial" w:hAnsi="Arial" w:cs="Arial"/>
          <w:sz w:val="22"/>
          <w:szCs w:val="22"/>
        </w:rPr>
      </w:pPr>
      <w:r>
        <w:rPr>
          <w:rFonts w:ascii="Arial" w:hAnsi="Arial" w:cs="Arial"/>
          <w:sz w:val="22"/>
          <w:szCs w:val="22"/>
        </w:rPr>
        <w:t xml:space="preserve">We will continue to support police and crime panels in their scrutiny of PCCs, with a particular </w:t>
      </w:r>
      <w:r w:rsidR="00B02D35">
        <w:rPr>
          <w:rFonts w:ascii="Arial" w:hAnsi="Arial" w:cs="Arial"/>
          <w:sz w:val="22"/>
          <w:szCs w:val="22"/>
        </w:rPr>
        <w:t>focus on</w:t>
      </w:r>
      <w:r>
        <w:rPr>
          <w:rFonts w:ascii="Arial" w:hAnsi="Arial" w:cs="Arial"/>
          <w:sz w:val="22"/>
          <w:szCs w:val="22"/>
        </w:rPr>
        <w:t xml:space="preserve"> the implications of an expanded PCC role in fire for PCP scrutiny. </w:t>
      </w:r>
    </w:p>
    <w:p w14:paraId="559700B4" w14:textId="77777777" w:rsidR="004314FD" w:rsidRDefault="004314FD" w:rsidP="00AE03AE">
      <w:pPr>
        <w:pStyle w:val="ListParagraph"/>
        <w:autoSpaceDE w:val="0"/>
        <w:autoSpaceDN w:val="0"/>
        <w:adjustRightInd w:val="0"/>
        <w:ind w:left="1224"/>
        <w:rPr>
          <w:rFonts w:ascii="Arial" w:hAnsi="Arial" w:cs="Arial"/>
          <w:sz w:val="22"/>
          <w:szCs w:val="22"/>
        </w:rPr>
      </w:pPr>
      <w:r>
        <w:rPr>
          <w:rFonts w:ascii="Arial" w:hAnsi="Arial" w:cs="Arial"/>
          <w:sz w:val="22"/>
          <w:szCs w:val="22"/>
        </w:rPr>
        <w:t xml:space="preserve"> </w:t>
      </w:r>
    </w:p>
    <w:p w14:paraId="1D02CEBD" w14:textId="1AECA7B1" w:rsidR="00AE03AE" w:rsidRDefault="00AE03AE" w:rsidP="00AE03AE">
      <w:pPr>
        <w:pStyle w:val="ListParagraph"/>
        <w:numPr>
          <w:ilvl w:val="1"/>
          <w:numId w:val="4"/>
        </w:numPr>
        <w:autoSpaceDE w:val="0"/>
        <w:autoSpaceDN w:val="0"/>
        <w:adjustRightInd w:val="0"/>
        <w:rPr>
          <w:rFonts w:ascii="Arial" w:hAnsi="Arial" w:cs="Arial"/>
          <w:sz w:val="22"/>
          <w:szCs w:val="22"/>
        </w:rPr>
      </w:pPr>
      <w:r>
        <w:rPr>
          <w:rFonts w:ascii="Arial" w:hAnsi="Arial" w:cs="Arial"/>
          <w:b/>
          <w:sz w:val="22"/>
          <w:szCs w:val="22"/>
          <w:u w:val="single"/>
        </w:rPr>
        <w:t>Licensing and r</w:t>
      </w:r>
      <w:r w:rsidRPr="009A1AD3">
        <w:rPr>
          <w:rFonts w:ascii="Arial" w:hAnsi="Arial" w:cs="Arial"/>
          <w:b/>
          <w:sz w:val="22"/>
          <w:szCs w:val="22"/>
          <w:u w:val="single"/>
        </w:rPr>
        <w:t>egulation</w:t>
      </w:r>
      <w:r>
        <w:rPr>
          <w:rFonts w:ascii="Arial" w:hAnsi="Arial" w:cs="Arial"/>
          <w:sz w:val="22"/>
          <w:szCs w:val="22"/>
        </w:rPr>
        <w:t xml:space="preserve"> </w:t>
      </w:r>
    </w:p>
    <w:p w14:paraId="61991CE9" w14:textId="77777777" w:rsidR="001370ED" w:rsidRDefault="001370ED" w:rsidP="001370ED">
      <w:pPr>
        <w:pStyle w:val="ListParagraph"/>
        <w:autoSpaceDE w:val="0"/>
        <w:autoSpaceDN w:val="0"/>
        <w:adjustRightInd w:val="0"/>
        <w:ind w:left="1021"/>
        <w:rPr>
          <w:rFonts w:ascii="Arial" w:hAnsi="Arial" w:cs="Arial"/>
          <w:sz w:val="22"/>
          <w:szCs w:val="22"/>
        </w:rPr>
      </w:pPr>
    </w:p>
    <w:p w14:paraId="0FC1D7DE" w14:textId="1240B847" w:rsidR="00AE03AE" w:rsidRPr="00BF5FC4" w:rsidRDefault="00E918F5" w:rsidP="00E85E5A">
      <w:pPr>
        <w:pStyle w:val="MainText"/>
        <w:numPr>
          <w:ilvl w:val="2"/>
          <w:numId w:val="4"/>
        </w:numPr>
        <w:spacing w:line="240" w:lineRule="auto"/>
        <w:ind w:left="1560" w:hanging="851"/>
        <w:rPr>
          <w:rFonts w:ascii="Arial" w:hAnsi="Arial" w:cs="Arial"/>
          <w:szCs w:val="22"/>
        </w:rPr>
      </w:pPr>
      <w:r>
        <w:rPr>
          <w:rFonts w:ascii="Arial" w:hAnsi="Arial" w:cs="Arial"/>
          <w:szCs w:val="22"/>
        </w:rPr>
        <w:t xml:space="preserve">In light of ongoing reports of problems with taxi licensing in a small number of councils, we have developed a </w:t>
      </w:r>
      <w:r w:rsidR="00B02D35">
        <w:rPr>
          <w:rFonts w:ascii="Arial" w:hAnsi="Arial" w:cs="Arial"/>
          <w:szCs w:val="22"/>
        </w:rPr>
        <w:t xml:space="preserve">new </w:t>
      </w:r>
      <w:r>
        <w:rPr>
          <w:rFonts w:ascii="Arial" w:hAnsi="Arial" w:cs="Arial"/>
          <w:szCs w:val="22"/>
        </w:rPr>
        <w:t>package of support for councils on taxi licensing.</w:t>
      </w:r>
      <w:r w:rsidR="00AE03AE">
        <w:rPr>
          <w:rFonts w:ascii="Arial" w:hAnsi="Arial" w:cs="Arial"/>
          <w:szCs w:val="22"/>
        </w:rPr>
        <w:t xml:space="preserve"> </w:t>
      </w:r>
      <w:r>
        <w:rPr>
          <w:rFonts w:ascii="Arial" w:hAnsi="Arial" w:cs="Arial"/>
          <w:szCs w:val="22"/>
        </w:rPr>
        <w:t xml:space="preserve"> We will refresh our 2015 taxi licensing handbook, and supplement this with a series of case studies. We will provide copies of the handbook to all councils, and hold five member workshops across the country highlighting the strategic role of licensing and the steps councils must take to build a robust and effective taxi licensing framework. We will follow this up with </w:t>
      </w:r>
      <w:r>
        <w:rPr>
          <w:rFonts w:ascii="Arial" w:hAnsi="Arial" w:cs="Arial"/>
          <w:color w:val="000000"/>
        </w:rPr>
        <w:t xml:space="preserve">work to support councils in understanding the links between </w:t>
      </w:r>
      <w:r w:rsidR="000529B7">
        <w:rPr>
          <w:rFonts w:ascii="Arial" w:hAnsi="Arial" w:cs="Arial"/>
          <w:color w:val="000000"/>
        </w:rPr>
        <w:t xml:space="preserve">other </w:t>
      </w:r>
      <w:r w:rsidR="00B02D35">
        <w:rPr>
          <w:rFonts w:ascii="Arial" w:hAnsi="Arial" w:cs="Arial"/>
          <w:color w:val="000000"/>
        </w:rPr>
        <w:t>areas of licensing</w:t>
      </w:r>
      <w:r>
        <w:rPr>
          <w:rFonts w:ascii="Arial" w:hAnsi="Arial" w:cs="Arial"/>
          <w:color w:val="000000"/>
        </w:rPr>
        <w:t xml:space="preserve"> and child sexual exploitation. </w:t>
      </w:r>
      <w:r w:rsidR="00AE03AE">
        <w:rPr>
          <w:rFonts w:ascii="Arial" w:hAnsi="Arial" w:cs="Arial"/>
          <w:szCs w:val="22"/>
        </w:rPr>
        <w:t xml:space="preserve"> </w:t>
      </w:r>
    </w:p>
    <w:p w14:paraId="1A8323C3" w14:textId="19ABF74B" w:rsidR="00AE03AE" w:rsidRPr="00DD5DD8" w:rsidRDefault="00AE03AE" w:rsidP="00E85E5A">
      <w:pPr>
        <w:pStyle w:val="MainText"/>
        <w:numPr>
          <w:ilvl w:val="2"/>
          <w:numId w:val="4"/>
        </w:numPr>
        <w:spacing w:line="240" w:lineRule="auto"/>
        <w:ind w:left="1560" w:hanging="840"/>
        <w:rPr>
          <w:rFonts w:ascii="Arial" w:hAnsi="Arial" w:cs="Arial"/>
          <w:szCs w:val="22"/>
        </w:rPr>
      </w:pPr>
      <w:r>
        <w:rPr>
          <w:rFonts w:ascii="Arial" w:hAnsi="Arial" w:cs="Arial"/>
          <w:color w:val="000000"/>
        </w:rPr>
        <w:t xml:space="preserve">We will continue to lobby the Home Office for changes to the licensing system to give councils greater flexibility in managing their local economy and protecting local residents. </w:t>
      </w:r>
      <w:r w:rsidR="00B02D35">
        <w:rPr>
          <w:rFonts w:ascii="Arial" w:hAnsi="Arial" w:cs="Arial"/>
          <w:color w:val="000000"/>
        </w:rPr>
        <w:t>This will include making</w:t>
      </w:r>
      <w:r w:rsidR="000529B7">
        <w:rPr>
          <w:rFonts w:ascii="Arial" w:hAnsi="Arial" w:cs="Arial"/>
          <w:color w:val="000000"/>
        </w:rPr>
        <w:t xml:space="preserve"> the case for </w:t>
      </w:r>
      <w:r>
        <w:rPr>
          <w:rFonts w:ascii="Arial" w:hAnsi="Arial" w:cs="Arial"/>
          <w:color w:val="000000"/>
        </w:rPr>
        <w:t xml:space="preserve">the </w:t>
      </w:r>
      <w:r w:rsidR="000529B7">
        <w:rPr>
          <w:rFonts w:ascii="Arial" w:hAnsi="Arial" w:cs="Arial"/>
          <w:color w:val="000000"/>
        </w:rPr>
        <w:t xml:space="preserve">localisation of licensing fees and </w:t>
      </w:r>
      <w:r>
        <w:rPr>
          <w:rFonts w:ascii="Arial" w:hAnsi="Arial" w:cs="Arial"/>
          <w:color w:val="000000"/>
        </w:rPr>
        <w:t>reform of licensing processes</w:t>
      </w:r>
      <w:r w:rsidR="00DD5DD8">
        <w:rPr>
          <w:rFonts w:ascii="Arial" w:hAnsi="Arial" w:cs="Arial"/>
          <w:color w:val="000000"/>
        </w:rPr>
        <w:t xml:space="preserve">, as well as lobbying </w:t>
      </w:r>
      <w:r w:rsidR="000529B7" w:rsidRPr="00DD5DD8">
        <w:rPr>
          <w:rFonts w:ascii="Arial" w:hAnsi="Arial" w:cs="Arial"/>
          <w:color w:val="000000"/>
        </w:rPr>
        <w:t>for more fundamental reform of taxi and gambling licensing legislation</w:t>
      </w:r>
      <w:r w:rsidRPr="00DD5DD8">
        <w:rPr>
          <w:rFonts w:ascii="Arial" w:hAnsi="Arial" w:cs="Arial"/>
          <w:color w:val="000000"/>
        </w:rPr>
        <w:t xml:space="preserve">. </w:t>
      </w:r>
    </w:p>
    <w:p w14:paraId="33FFA796" w14:textId="0AC2110A" w:rsidR="001863C9" w:rsidRPr="000529B7" w:rsidRDefault="00DD5DD8" w:rsidP="00E85E5A">
      <w:pPr>
        <w:pStyle w:val="MainText"/>
        <w:numPr>
          <w:ilvl w:val="2"/>
          <w:numId w:val="4"/>
        </w:numPr>
        <w:spacing w:line="240" w:lineRule="auto"/>
        <w:ind w:left="1560" w:hanging="840"/>
        <w:rPr>
          <w:rFonts w:ascii="Arial" w:hAnsi="Arial" w:cs="Arial"/>
          <w:szCs w:val="22"/>
        </w:rPr>
      </w:pPr>
      <w:r>
        <w:rPr>
          <w:rFonts w:ascii="Arial" w:hAnsi="Arial" w:cs="Arial"/>
          <w:szCs w:val="22"/>
        </w:rPr>
        <w:t xml:space="preserve">Recognising the ongoing pressures on council regulatory services, we will take forward the recommendations in our trading standards review and continue to promote the case for joining up </w:t>
      </w:r>
      <w:r w:rsidR="00B02D35">
        <w:rPr>
          <w:rFonts w:ascii="Arial" w:hAnsi="Arial" w:cs="Arial"/>
          <w:szCs w:val="22"/>
        </w:rPr>
        <w:t>regulatory services across councils to increase resilience</w:t>
      </w:r>
      <w:r>
        <w:rPr>
          <w:rFonts w:ascii="Arial" w:hAnsi="Arial" w:cs="Arial"/>
          <w:szCs w:val="22"/>
        </w:rPr>
        <w:t>.</w:t>
      </w:r>
    </w:p>
    <w:p w14:paraId="71CD04B9" w14:textId="77777777" w:rsidR="00AE03AE" w:rsidRPr="00251ECB" w:rsidRDefault="00AE03AE" w:rsidP="004314FD">
      <w:pPr>
        <w:pStyle w:val="ListParagraph"/>
        <w:autoSpaceDE w:val="0"/>
        <w:autoSpaceDN w:val="0"/>
        <w:adjustRightInd w:val="0"/>
        <w:ind w:left="1224"/>
        <w:rPr>
          <w:rFonts w:ascii="Arial" w:hAnsi="Arial" w:cs="Arial"/>
          <w:sz w:val="22"/>
          <w:szCs w:val="22"/>
        </w:rPr>
      </w:pPr>
    </w:p>
    <w:p w14:paraId="59F246F6" w14:textId="77777777" w:rsidR="00C55B8D" w:rsidRDefault="00C55B8D">
      <w:pPr>
        <w:rPr>
          <w:rFonts w:ascii="Arial" w:hAnsi="Arial" w:cs="Arial"/>
          <w:b/>
          <w:sz w:val="22"/>
          <w:szCs w:val="22"/>
          <w:u w:val="single"/>
        </w:rPr>
      </w:pPr>
      <w:r>
        <w:rPr>
          <w:rFonts w:ascii="Arial" w:hAnsi="Arial" w:cs="Arial"/>
          <w:b/>
          <w:sz w:val="22"/>
          <w:szCs w:val="22"/>
          <w:u w:val="single"/>
        </w:rPr>
        <w:br w:type="page"/>
      </w:r>
    </w:p>
    <w:p w14:paraId="613B283D" w14:textId="1AFC3E64" w:rsidR="001863C9" w:rsidRDefault="00D85E34" w:rsidP="009A1AD3">
      <w:pPr>
        <w:pStyle w:val="ListParagraph"/>
        <w:numPr>
          <w:ilvl w:val="1"/>
          <w:numId w:val="4"/>
        </w:numPr>
        <w:autoSpaceDE w:val="0"/>
        <w:autoSpaceDN w:val="0"/>
        <w:adjustRightInd w:val="0"/>
        <w:rPr>
          <w:rFonts w:ascii="Arial" w:hAnsi="Arial" w:cs="Arial"/>
          <w:sz w:val="22"/>
          <w:szCs w:val="22"/>
        </w:rPr>
      </w:pPr>
      <w:r>
        <w:rPr>
          <w:rFonts w:ascii="Arial" w:hAnsi="Arial" w:cs="Arial"/>
          <w:b/>
          <w:sz w:val="22"/>
          <w:szCs w:val="22"/>
          <w:u w:val="single"/>
        </w:rPr>
        <w:lastRenderedPageBreak/>
        <w:t xml:space="preserve">Crematoria, </w:t>
      </w:r>
      <w:r w:rsidR="004314FD" w:rsidRPr="004314FD">
        <w:rPr>
          <w:rFonts w:ascii="Arial" w:hAnsi="Arial" w:cs="Arial"/>
          <w:b/>
          <w:sz w:val="22"/>
          <w:szCs w:val="22"/>
          <w:u w:val="single"/>
        </w:rPr>
        <w:t>coroners</w:t>
      </w:r>
      <w:r>
        <w:rPr>
          <w:rFonts w:ascii="Arial" w:hAnsi="Arial" w:cs="Arial"/>
          <w:b/>
          <w:sz w:val="22"/>
          <w:szCs w:val="22"/>
          <w:u w:val="single"/>
        </w:rPr>
        <w:t xml:space="preserve"> and medical examiners</w:t>
      </w:r>
      <w:r w:rsidR="004314FD">
        <w:rPr>
          <w:rFonts w:ascii="Arial" w:hAnsi="Arial" w:cs="Arial"/>
          <w:sz w:val="22"/>
          <w:szCs w:val="22"/>
        </w:rPr>
        <w:t xml:space="preserve"> </w:t>
      </w:r>
    </w:p>
    <w:p w14:paraId="2D92AE4D" w14:textId="77777777" w:rsidR="001370ED" w:rsidRDefault="001370ED" w:rsidP="001370ED">
      <w:pPr>
        <w:pStyle w:val="ListParagraph"/>
        <w:autoSpaceDE w:val="0"/>
        <w:autoSpaceDN w:val="0"/>
        <w:adjustRightInd w:val="0"/>
        <w:ind w:left="1021"/>
        <w:rPr>
          <w:rFonts w:ascii="Arial" w:hAnsi="Arial" w:cs="Arial"/>
          <w:sz w:val="22"/>
          <w:szCs w:val="22"/>
        </w:rPr>
      </w:pPr>
    </w:p>
    <w:p w14:paraId="35838FE4" w14:textId="77777777" w:rsidR="001863C9" w:rsidRDefault="001863C9" w:rsidP="00E85E5A">
      <w:pPr>
        <w:pStyle w:val="ListParagraph"/>
        <w:numPr>
          <w:ilvl w:val="2"/>
          <w:numId w:val="4"/>
        </w:numPr>
        <w:autoSpaceDE w:val="0"/>
        <w:autoSpaceDN w:val="0"/>
        <w:adjustRightInd w:val="0"/>
        <w:ind w:left="1560" w:hanging="840"/>
        <w:rPr>
          <w:rFonts w:ascii="Arial" w:hAnsi="Arial" w:cs="Arial"/>
          <w:sz w:val="22"/>
          <w:szCs w:val="22"/>
        </w:rPr>
      </w:pPr>
      <w:r>
        <w:rPr>
          <w:rFonts w:ascii="Arial" w:hAnsi="Arial" w:cs="Arial"/>
          <w:sz w:val="22"/>
          <w:szCs w:val="22"/>
        </w:rPr>
        <w:t>A</w:t>
      </w:r>
      <w:r w:rsidR="00AE03AE" w:rsidRPr="00AE03AE">
        <w:rPr>
          <w:rFonts w:ascii="Arial" w:hAnsi="Arial" w:cs="Arial"/>
          <w:sz w:val="22"/>
          <w:szCs w:val="22"/>
        </w:rPr>
        <w:t xml:space="preserve">head of changes to the process of scrutinising death certification due in 2018, we will work with councils and the government to ensure that the new </w:t>
      </w:r>
      <w:r w:rsidR="00772355">
        <w:rPr>
          <w:rFonts w:ascii="Arial" w:hAnsi="Arial" w:cs="Arial"/>
          <w:sz w:val="22"/>
          <w:szCs w:val="22"/>
        </w:rPr>
        <w:t xml:space="preserve">medical examiners </w:t>
      </w:r>
      <w:r w:rsidR="00AE03AE" w:rsidRPr="00AE03AE">
        <w:rPr>
          <w:rFonts w:ascii="Arial" w:hAnsi="Arial" w:cs="Arial"/>
          <w:sz w:val="22"/>
          <w:szCs w:val="22"/>
        </w:rPr>
        <w:t xml:space="preserve">system </w:t>
      </w:r>
      <w:r w:rsidR="00772355">
        <w:rPr>
          <w:rFonts w:ascii="Arial" w:hAnsi="Arial" w:cs="Arial"/>
          <w:sz w:val="22"/>
          <w:szCs w:val="22"/>
        </w:rPr>
        <w:t>does not impose additional costs on councils</w:t>
      </w:r>
      <w:r w:rsidR="00AE03AE" w:rsidRPr="00AE03AE">
        <w:rPr>
          <w:rFonts w:ascii="Arial" w:hAnsi="Arial" w:cs="Arial"/>
          <w:sz w:val="22"/>
          <w:szCs w:val="22"/>
        </w:rPr>
        <w:t xml:space="preserve">, and that there is appropriate guidance and support available. </w:t>
      </w:r>
      <w:r>
        <w:rPr>
          <w:rFonts w:ascii="Arial" w:hAnsi="Arial" w:cs="Arial"/>
          <w:sz w:val="22"/>
          <w:szCs w:val="22"/>
        </w:rPr>
        <w:t xml:space="preserve"> W</w:t>
      </w:r>
      <w:r w:rsidRPr="00AE03AE">
        <w:rPr>
          <w:rFonts w:ascii="Arial" w:hAnsi="Arial" w:cs="Arial"/>
          <w:sz w:val="22"/>
          <w:szCs w:val="22"/>
        </w:rPr>
        <w:t xml:space="preserve">e will </w:t>
      </w:r>
      <w:r>
        <w:rPr>
          <w:rFonts w:ascii="Arial" w:hAnsi="Arial" w:cs="Arial"/>
          <w:sz w:val="22"/>
          <w:szCs w:val="22"/>
        </w:rPr>
        <w:t xml:space="preserve">continue to </w:t>
      </w:r>
      <w:r w:rsidRPr="00AE03AE">
        <w:rPr>
          <w:rFonts w:ascii="Arial" w:hAnsi="Arial" w:cs="Arial"/>
          <w:sz w:val="22"/>
          <w:szCs w:val="22"/>
        </w:rPr>
        <w:t xml:space="preserve">highlight the pressures created by the Coroners and Justice Act, </w:t>
      </w:r>
      <w:r w:rsidR="00772355">
        <w:rPr>
          <w:rFonts w:ascii="Arial" w:hAnsi="Arial" w:cs="Arial"/>
          <w:sz w:val="22"/>
          <w:szCs w:val="22"/>
        </w:rPr>
        <w:t xml:space="preserve">especially around </w:t>
      </w:r>
      <w:r w:rsidRPr="00AE03AE">
        <w:rPr>
          <w:rFonts w:ascii="Arial" w:hAnsi="Arial" w:cs="Arial"/>
          <w:sz w:val="22"/>
          <w:szCs w:val="22"/>
        </w:rPr>
        <w:t>Deprivation of Liberty Safeguards and funeral poverty.</w:t>
      </w:r>
    </w:p>
    <w:p w14:paraId="1333EE9B" w14:textId="77777777" w:rsidR="004314FD" w:rsidRPr="00AE03AE" w:rsidRDefault="00AE03AE" w:rsidP="00E85E5A">
      <w:pPr>
        <w:pStyle w:val="ListParagraph"/>
        <w:numPr>
          <w:ilvl w:val="2"/>
          <w:numId w:val="4"/>
        </w:numPr>
        <w:autoSpaceDE w:val="0"/>
        <w:autoSpaceDN w:val="0"/>
        <w:adjustRightInd w:val="0"/>
        <w:ind w:left="1560" w:hanging="840"/>
        <w:rPr>
          <w:rFonts w:ascii="Arial" w:hAnsi="Arial" w:cs="Arial"/>
          <w:sz w:val="22"/>
          <w:szCs w:val="22"/>
        </w:rPr>
      </w:pPr>
      <w:r w:rsidRPr="00AE03AE">
        <w:rPr>
          <w:rFonts w:ascii="Arial" w:hAnsi="Arial" w:cs="Arial"/>
          <w:sz w:val="22"/>
          <w:szCs w:val="22"/>
        </w:rPr>
        <w:t xml:space="preserve">Following recent reviews into crematoria and coroners’ services we will feed into the proposed working group on this issue and discussions about a National Inspector of crematoria. We will also continue to support councils in this area and develop guidance on coroners’, bereavement and registration services. </w:t>
      </w:r>
    </w:p>
    <w:p w14:paraId="4A555C71" w14:textId="77777777" w:rsidR="00CE0EF4" w:rsidRPr="004314FD" w:rsidRDefault="00CE0EF4" w:rsidP="004314FD">
      <w:pPr>
        <w:rPr>
          <w:rFonts w:cs="Arial"/>
          <w:szCs w:val="22"/>
        </w:rPr>
      </w:pPr>
    </w:p>
    <w:p w14:paraId="47C8345D" w14:textId="77777777" w:rsidR="00CE0EF4" w:rsidRPr="00CE0EF4" w:rsidRDefault="00CE0EF4" w:rsidP="00CE0EF4">
      <w:pPr>
        <w:pStyle w:val="ListParagraph"/>
        <w:ind w:left="0"/>
        <w:rPr>
          <w:rFonts w:ascii="Arial" w:hAnsi="Arial" w:cs="Arial"/>
          <w:b/>
          <w:szCs w:val="22"/>
        </w:rPr>
      </w:pPr>
      <w:r w:rsidRPr="00CE0EF4">
        <w:rPr>
          <w:rFonts w:ascii="Arial" w:hAnsi="Arial" w:cs="Arial"/>
          <w:b/>
          <w:szCs w:val="22"/>
        </w:rPr>
        <w:t>Legislation</w:t>
      </w:r>
    </w:p>
    <w:p w14:paraId="668DC167" w14:textId="77777777" w:rsidR="00CE0EF4" w:rsidRDefault="00CE0EF4" w:rsidP="00CE0EF4">
      <w:pPr>
        <w:pStyle w:val="ListParagraph"/>
        <w:rPr>
          <w:rFonts w:cs="Arial"/>
          <w:szCs w:val="22"/>
        </w:rPr>
      </w:pPr>
    </w:p>
    <w:p w14:paraId="674182A7" w14:textId="77777777" w:rsidR="00CE0EF4" w:rsidRPr="001370ED" w:rsidRDefault="00CE0EF4" w:rsidP="00DE095E">
      <w:pPr>
        <w:pStyle w:val="PlainText"/>
        <w:numPr>
          <w:ilvl w:val="0"/>
          <w:numId w:val="4"/>
        </w:numPr>
        <w:rPr>
          <w:rFonts w:cs="Arial"/>
          <w:b/>
          <w:szCs w:val="22"/>
        </w:rPr>
      </w:pPr>
      <w:r w:rsidRPr="000E66FB">
        <w:rPr>
          <w:rFonts w:cs="Arial"/>
          <w:szCs w:val="22"/>
        </w:rPr>
        <w:t xml:space="preserve">A number of </w:t>
      </w:r>
      <w:r w:rsidR="009402AC">
        <w:rPr>
          <w:rFonts w:cs="Arial"/>
          <w:szCs w:val="22"/>
        </w:rPr>
        <w:t xml:space="preserve">different areas of legislation are </w:t>
      </w:r>
      <w:r w:rsidR="000E66FB" w:rsidRPr="000E66FB">
        <w:rPr>
          <w:rFonts w:cs="Arial"/>
          <w:szCs w:val="22"/>
        </w:rPr>
        <w:t xml:space="preserve">of direct relevance to the Board. </w:t>
      </w:r>
    </w:p>
    <w:p w14:paraId="15F0EA3F" w14:textId="77777777" w:rsidR="001370ED" w:rsidRPr="00DE095E" w:rsidRDefault="001370ED" w:rsidP="001370ED">
      <w:pPr>
        <w:pStyle w:val="PlainText"/>
        <w:ind w:left="360"/>
        <w:rPr>
          <w:rFonts w:cs="Arial"/>
          <w:b/>
          <w:szCs w:val="22"/>
        </w:rPr>
      </w:pPr>
    </w:p>
    <w:p w14:paraId="528EA6B2" w14:textId="77777777" w:rsidR="00385854" w:rsidRPr="00385854" w:rsidRDefault="00385854" w:rsidP="00385854">
      <w:pPr>
        <w:pStyle w:val="ListParagraph"/>
        <w:numPr>
          <w:ilvl w:val="1"/>
          <w:numId w:val="4"/>
        </w:numPr>
        <w:rPr>
          <w:rFonts w:ascii="Arial" w:hAnsi="Arial" w:cs="Arial"/>
          <w:b/>
          <w:bCs/>
          <w:sz w:val="22"/>
          <w:szCs w:val="22"/>
        </w:rPr>
      </w:pPr>
      <w:r w:rsidRPr="00385854">
        <w:rPr>
          <w:rFonts w:ascii="Arial" w:hAnsi="Arial" w:cs="Arial"/>
          <w:b/>
          <w:bCs/>
          <w:sz w:val="22"/>
          <w:szCs w:val="22"/>
        </w:rPr>
        <w:t>The Investigatory Powers Bill</w:t>
      </w:r>
    </w:p>
    <w:p w14:paraId="528C6EEE" w14:textId="0679144D" w:rsidR="00385854" w:rsidRPr="00385854" w:rsidRDefault="00385854" w:rsidP="00E85E5A">
      <w:pPr>
        <w:pStyle w:val="ListParagraph"/>
        <w:numPr>
          <w:ilvl w:val="2"/>
          <w:numId w:val="4"/>
        </w:numPr>
        <w:ind w:left="1560" w:hanging="840"/>
        <w:rPr>
          <w:rFonts w:ascii="Arial" w:hAnsi="Arial" w:cs="Arial"/>
          <w:sz w:val="22"/>
          <w:szCs w:val="22"/>
        </w:rPr>
      </w:pPr>
      <w:r w:rsidRPr="00385854">
        <w:rPr>
          <w:rFonts w:ascii="Arial" w:hAnsi="Arial" w:cs="Arial"/>
          <w:sz w:val="22"/>
          <w:szCs w:val="22"/>
        </w:rPr>
        <w:t xml:space="preserve">Having successfully completed its passage through the House of Commons, the </w:t>
      </w:r>
      <w:hyperlink r:id="rId13" w:history="1">
        <w:r w:rsidRPr="00385854">
          <w:rPr>
            <w:rStyle w:val="Hyperlink"/>
            <w:rFonts w:ascii="Arial" w:hAnsi="Arial" w:cs="Arial"/>
            <w:sz w:val="22"/>
            <w:szCs w:val="22"/>
          </w:rPr>
          <w:t>Investigatory Powers Bill</w:t>
        </w:r>
      </w:hyperlink>
      <w:r w:rsidRPr="00385854">
        <w:rPr>
          <w:rFonts w:ascii="Arial" w:hAnsi="Arial" w:cs="Arial"/>
          <w:sz w:val="22"/>
          <w:szCs w:val="22"/>
        </w:rPr>
        <w:t xml:space="preserve"> is currently in Committee Stage</w:t>
      </w:r>
      <w:r w:rsidR="001370ED">
        <w:rPr>
          <w:rFonts w:ascii="Arial" w:hAnsi="Arial" w:cs="Arial"/>
          <w:sz w:val="22"/>
          <w:szCs w:val="22"/>
        </w:rPr>
        <w:t xml:space="preserve"> in the House of Lords. The LGA’s consistent lobbying over recent years for </w:t>
      </w:r>
      <w:r w:rsidRPr="00385854">
        <w:rPr>
          <w:rFonts w:ascii="Arial" w:hAnsi="Arial" w:cs="Arial"/>
          <w:sz w:val="22"/>
          <w:szCs w:val="22"/>
        </w:rPr>
        <w:t xml:space="preserve">councils to retain </w:t>
      </w:r>
      <w:r w:rsidR="001370ED">
        <w:rPr>
          <w:rFonts w:ascii="Arial" w:hAnsi="Arial" w:cs="Arial"/>
          <w:sz w:val="22"/>
          <w:szCs w:val="22"/>
        </w:rPr>
        <w:t>access to</w:t>
      </w:r>
      <w:r w:rsidRPr="00385854">
        <w:rPr>
          <w:rFonts w:ascii="Arial" w:hAnsi="Arial" w:cs="Arial"/>
          <w:sz w:val="22"/>
          <w:szCs w:val="22"/>
        </w:rPr>
        <w:t xml:space="preserve"> communications data</w:t>
      </w:r>
      <w:r w:rsidR="001370ED">
        <w:rPr>
          <w:rFonts w:ascii="Arial" w:hAnsi="Arial" w:cs="Arial"/>
          <w:sz w:val="22"/>
          <w:szCs w:val="22"/>
        </w:rPr>
        <w:t xml:space="preserve"> is reflected in the Bill, which proposes councils should continue to have access. To secure support for this in Parliament (in light of ongoing opposition in the media and among some Parliamentarians)</w:t>
      </w:r>
      <w:r w:rsidRPr="00385854">
        <w:rPr>
          <w:rFonts w:ascii="Arial" w:hAnsi="Arial" w:cs="Arial"/>
          <w:sz w:val="22"/>
          <w:szCs w:val="22"/>
        </w:rPr>
        <w:t>, our b</w:t>
      </w:r>
      <w:hyperlink r:id="rId14" w:history="1">
        <w:r w:rsidRPr="00385854">
          <w:rPr>
            <w:rStyle w:val="Hyperlink"/>
            <w:rFonts w:ascii="Arial" w:hAnsi="Arial" w:cs="Arial"/>
            <w:sz w:val="22"/>
            <w:szCs w:val="22"/>
          </w:rPr>
          <w:t>riefings</w:t>
        </w:r>
      </w:hyperlink>
      <w:r w:rsidRPr="00385854">
        <w:rPr>
          <w:rFonts w:ascii="Arial" w:hAnsi="Arial" w:cs="Arial"/>
          <w:sz w:val="22"/>
          <w:szCs w:val="22"/>
        </w:rPr>
        <w:t xml:space="preserve"> have highlighted the importance of council teams having access to communications data to protect vulnerable residents from crimes such as tax evasion or fraud. We </w:t>
      </w:r>
      <w:r w:rsidR="001370ED">
        <w:rPr>
          <w:rFonts w:ascii="Arial" w:hAnsi="Arial" w:cs="Arial"/>
          <w:sz w:val="22"/>
          <w:szCs w:val="22"/>
        </w:rPr>
        <w:t xml:space="preserve">have </w:t>
      </w:r>
      <w:r w:rsidRPr="00385854">
        <w:rPr>
          <w:rFonts w:ascii="Arial" w:hAnsi="Arial" w:cs="Arial"/>
          <w:sz w:val="22"/>
          <w:szCs w:val="22"/>
        </w:rPr>
        <w:t>emphasised that councils continue to be subject to more stringent oversight than any other body and are required to seek judicial authorisation before accessing communications data. The LGA has been supportive of continuing with these safeguards to secure public confidence. As the Bill progresses in the House of Lords, we will continue to make our case for councils retaining access to communications data and briefing</w:t>
      </w:r>
      <w:r w:rsidR="001370ED">
        <w:rPr>
          <w:rFonts w:ascii="Arial" w:hAnsi="Arial" w:cs="Arial"/>
          <w:sz w:val="22"/>
          <w:szCs w:val="22"/>
        </w:rPr>
        <w:t xml:space="preserve"> peers in support of the Bill.</w:t>
      </w:r>
    </w:p>
    <w:p w14:paraId="708892E0" w14:textId="77777777" w:rsidR="00385854" w:rsidRPr="00385854" w:rsidRDefault="00385854" w:rsidP="00385854">
      <w:pPr>
        <w:pStyle w:val="ListParagraph"/>
        <w:ind w:left="360"/>
        <w:rPr>
          <w:rFonts w:ascii="Arial" w:hAnsi="Arial" w:cs="Arial"/>
          <w:b/>
          <w:bCs/>
          <w:sz w:val="22"/>
          <w:szCs w:val="22"/>
        </w:rPr>
      </w:pPr>
    </w:p>
    <w:p w14:paraId="4277833A" w14:textId="77777777" w:rsidR="00385854" w:rsidRPr="00385854" w:rsidRDefault="00385854" w:rsidP="00385854">
      <w:pPr>
        <w:pStyle w:val="ListParagraph"/>
        <w:numPr>
          <w:ilvl w:val="1"/>
          <w:numId w:val="4"/>
        </w:numPr>
        <w:rPr>
          <w:rFonts w:ascii="Arial" w:hAnsi="Arial" w:cs="Arial"/>
          <w:b/>
          <w:bCs/>
          <w:sz w:val="22"/>
          <w:szCs w:val="22"/>
        </w:rPr>
      </w:pPr>
      <w:r w:rsidRPr="00385854">
        <w:rPr>
          <w:rFonts w:ascii="Arial" w:hAnsi="Arial" w:cs="Arial"/>
          <w:b/>
          <w:bCs/>
          <w:sz w:val="22"/>
          <w:szCs w:val="22"/>
        </w:rPr>
        <w:t>The Policing and Crime Bill</w:t>
      </w:r>
    </w:p>
    <w:p w14:paraId="77390FA6" w14:textId="77777777" w:rsidR="001370ED" w:rsidRDefault="00385854" w:rsidP="00E85E5A">
      <w:pPr>
        <w:pStyle w:val="ListParagraph"/>
        <w:numPr>
          <w:ilvl w:val="2"/>
          <w:numId w:val="4"/>
        </w:numPr>
        <w:ind w:left="1560" w:hanging="840"/>
        <w:rPr>
          <w:rFonts w:ascii="Arial" w:hAnsi="Arial" w:cs="Arial"/>
          <w:sz w:val="22"/>
          <w:szCs w:val="22"/>
        </w:rPr>
      </w:pPr>
      <w:r w:rsidRPr="00385854">
        <w:rPr>
          <w:rFonts w:ascii="Arial" w:hAnsi="Arial" w:cs="Arial"/>
          <w:sz w:val="22"/>
          <w:szCs w:val="22"/>
        </w:rPr>
        <w:t xml:space="preserve">The Policing and Crime </w:t>
      </w:r>
      <w:r w:rsidR="001370ED" w:rsidRPr="00385854">
        <w:rPr>
          <w:rFonts w:ascii="Arial" w:hAnsi="Arial" w:cs="Arial"/>
          <w:sz w:val="22"/>
          <w:szCs w:val="22"/>
        </w:rPr>
        <w:t>Bill includes</w:t>
      </w:r>
      <w:r w:rsidRPr="00385854">
        <w:rPr>
          <w:rFonts w:ascii="Arial" w:hAnsi="Arial" w:cs="Arial"/>
          <w:sz w:val="22"/>
          <w:szCs w:val="22"/>
        </w:rPr>
        <w:t xml:space="preserve"> a number of areas of interest to the LGA, most importantly the role of the Police and Crime Commissioner (PCC) and their </w:t>
      </w:r>
      <w:r w:rsidR="001370ED">
        <w:rPr>
          <w:rFonts w:ascii="Arial" w:hAnsi="Arial" w:cs="Arial"/>
          <w:sz w:val="22"/>
          <w:szCs w:val="22"/>
        </w:rPr>
        <w:t xml:space="preserve">potential </w:t>
      </w:r>
      <w:r w:rsidRPr="00385854">
        <w:rPr>
          <w:rFonts w:ascii="Arial" w:hAnsi="Arial" w:cs="Arial"/>
          <w:sz w:val="22"/>
          <w:szCs w:val="22"/>
        </w:rPr>
        <w:t xml:space="preserve">responsibility for Fire and Rescue Authorities. We have worked with Parliamentarians to table amendments to the Bill to ensure PCCs comprehensively consult with the local fire and rescue authority before a transfer of governance is proposed. The LGA has also briefed in support of amendments on taxi licensing, children’s mental health services and deaths in custody of people with mental health conditions. </w:t>
      </w:r>
    </w:p>
    <w:p w14:paraId="4BA7495A" w14:textId="0741CA40" w:rsidR="00385854" w:rsidRPr="00385854" w:rsidRDefault="001370ED" w:rsidP="00E85E5A">
      <w:pPr>
        <w:pStyle w:val="ListParagraph"/>
        <w:numPr>
          <w:ilvl w:val="2"/>
          <w:numId w:val="4"/>
        </w:numPr>
        <w:ind w:left="1560" w:hanging="840"/>
        <w:rPr>
          <w:rFonts w:ascii="Arial" w:hAnsi="Arial" w:cs="Arial"/>
          <w:sz w:val="22"/>
          <w:szCs w:val="22"/>
        </w:rPr>
      </w:pPr>
      <w:r w:rsidRPr="00385854">
        <w:rPr>
          <w:rFonts w:ascii="Arial" w:hAnsi="Arial" w:cs="Arial"/>
          <w:sz w:val="22"/>
          <w:szCs w:val="22"/>
        </w:rPr>
        <w:t xml:space="preserve">The Bill has already completed its passage in the House of Commons, </w:t>
      </w:r>
      <w:r>
        <w:rPr>
          <w:rFonts w:ascii="Arial" w:hAnsi="Arial" w:cs="Arial"/>
          <w:sz w:val="22"/>
          <w:szCs w:val="22"/>
        </w:rPr>
        <w:t xml:space="preserve">and </w:t>
      </w:r>
      <w:r w:rsidRPr="00385854">
        <w:rPr>
          <w:rFonts w:ascii="Arial" w:hAnsi="Arial" w:cs="Arial"/>
          <w:sz w:val="22"/>
          <w:szCs w:val="22"/>
        </w:rPr>
        <w:t xml:space="preserve">is due to have its Committee Stage debate in the </w:t>
      </w:r>
      <w:r w:rsidRPr="00385854">
        <w:rPr>
          <w:rFonts w:ascii="Arial" w:hAnsi="Arial" w:cs="Arial"/>
          <w:sz w:val="22"/>
          <w:szCs w:val="22"/>
        </w:rPr>
        <w:lastRenderedPageBreak/>
        <w:t>House of Lords on 14 September 2016, when it will then progress to Report Stage for line-by-line examination of the Bill</w:t>
      </w:r>
      <w:r>
        <w:rPr>
          <w:rFonts w:ascii="Arial" w:hAnsi="Arial" w:cs="Arial"/>
          <w:sz w:val="22"/>
          <w:szCs w:val="22"/>
        </w:rPr>
        <w:t xml:space="preserve">. This </w:t>
      </w:r>
      <w:r w:rsidRPr="00385854">
        <w:rPr>
          <w:rFonts w:ascii="Arial" w:hAnsi="Arial" w:cs="Arial"/>
          <w:sz w:val="22"/>
          <w:szCs w:val="22"/>
        </w:rPr>
        <w:t xml:space="preserve">is the final stage before Royal Assent, which is expected to be completed before 2017 if parliamentary time allows. </w:t>
      </w:r>
    </w:p>
    <w:p w14:paraId="6BB5E785" w14:textId="77777777" w:rsidR="00385854" w:rsidRPr="00385854" w:rsidRDefault="00385854" w:rsidP="00385854">
      <w:pPr>
        <w:pStyle w:val="ListParagraph"/>
        <w:ind w:left="360"/>
        <w:rPr>
          <w:rFonts w:ascii="Arial" w:hAnsi="Arial" w:cs="Arial"/>
          <w:sz w:val="22"/>
          <w:szCs w:val="22"/>
        </w:rPr>
      </w:pPr>
    </w:p>
    <w:p w14:paraId="3C7FD3C0" w14:textId="77777777" w:rsidR="00385854" w:rsidRPr="00385854" w:rsidRDefault="00385854" w:rsidP="00385854">
      <w:pPr>
        <w:pStyle w:val="ListParagraph"/>
        <w:numPr>
          <w:ilvl w:val="1"/>
          <w:numId w:val="4"/>
        </w:numPr>
        <w:rPr>
          <w:rFonts w:ascii="Arial" w:hAnsi="Arial" w:cs="Arial"/>
          <w:b/>
          <w:bCs/>
          <w:sz w:val="22"/>
          <w:szCs w:val="22"/>
        </w:rPr>
      </w:pPr>
      <w:r w:rsidRPr="00385854">
        <w:rPr>
          <w:rFonts w:ascii="Arial" w:hAnsi="Arial" w:cs="Arial"/>
          <w:b/>
          <w:bCs/>
          <w:sz w:val="22"/>
          <w:szCs w:val="22"/>
        </w:rPr>
        <w:t>The Counter-Terrorism and Safeguarding Bill</w:t>
      </w:r>
    </w:p>
    <w:p w14:paraId="71E06D75" w14:textId="77777777" w:rsidR="00385854" w:rsidRDefault="00385854" w:rsidP="00E85E5A">
      <w:pPr>
        <w:pStyle w:val="ListParagraph"/>
        <w:numPr>
          <w:ilvl w:val="2"/>
          <w:numId w:val="4"/>
        </w:numPr>
        <w:ind w:left="1560" w:hanging="840"/>
        <w:rPr>
          <w:rFonts w:ascii="Arial" w:hAnsi="Arial" w:cs="Arial"/>
          <w:sz w:val="22"/>
          <w:szCs w:val="22"/>
        </w:rPr>
      </w:pPr>
      <w:r w:rsidRPr="00385854">
        <w:rPr>
          <w:rFonts w:ascii="Arial" w:hAnsi="Arial" w:cs="Arial"/>
          <w:sz w:val="22"/>
          <w:szCs w:val="22"/>
        </w:rPr>
        <w:t xml:space="preserve">Still to be introduced, the Counter-Terrorism and Safeguarding Bill was announced in this year’s Queen’s Speech with the purpose of creating a new civil order regime to restrict extremist activity. The Bill is also set to include powers to intervene in education settings and consultation on powers to intervene where councils fail to tackle extremism. In our initial response to the Bill’s announcement, the LGA agreed the Government should assist councils in sharing best practice and we emphasised the importance of local responses to extremism and community relations. </w:t>
      </w:r>
    </w:p>
    <w:p w14:paraId="01F8ABAE" w14:textId="05BD1C64" w:rsidR="001370ED" w:rsidRPr="00385854" w:rsidRDefault="001370ED" w:rsidP="00E85E5A">
      <w:pPr>
        <w:pStyle w:val="ListParagraph"/>
        <w:numPr>
          <w:ilvl w:val="2"/>
          <w:numId w:val="4"/>
        </w:numPr>
        <w:ind w:left="1560" w:hanging="840"/>
        <w:rPr>
          <w:rFonts w:ascii="Arial" w:hAnsi="Arial" w:cs="Arial"/>
          <w:sz w:val="22"/>
          <w:szCs w:val="22"/>
        </w:rPr>
      </w:pPr>
      <w:r>
        <w:rPr>
          <w:rFonts w:ascii="Arial" w:hAnsi="Arial" w:cs="Arial"/>
          <w:sz w:val="22"/>
          <w:szCs w:val="22"/>
        </w:rPr>
        <w:t>Given the stated objectives of the Bill around powers to intervene in education and councils, we expect to be closely involved once this Bill is published.</w:t>
      </w:r>
    </w:p>
    <w:p w14:paraId="263C316F" w14:textId="529F1402" w:rsidR="00DE095E" w:rsidRDefault="00DE095E" w:rsidP="00DE095E">
      <w:pPr>
        <w:pStyle w:val="PlainText"/>
        <w:ind w:left="1021"/>
        <w:rPr>
          <w:rFonts w:cs="Arial"/>
          <w:b/>
          <w:szCs w:val="22"/>
        </w:rPr>
      </w:pPr>
    </w:p>
    <w:p w14:paraId="6E4125A5" w14:textId="77777777" w:rsidR="00CE0EF4" w:rsidRDefault="00CE0EF4" w:rsidP="00CE0EF4">
      <w:pPr>
        <w:pStyle w:val="PlainText"/>
        <w:rPr>
          <w:rFonts w:cs="Arial"/>
          <w:b/>
          <w:szCs w:val="22"/>
        </w:rPr>
      </w:pPr>
      <w:r>
        <w:rPr>
          <w:rFonts w:cs="Arial"/>
          <w:b/>
          <w:szCs w:val="22"/>
        </w:rPr>
        <w:t>Communications and Events</w:t>
      </w:r>
    </w:p>
    <w:p w14:paraId="544E1F3B" w14:textId="77777777" w:rsidR="00CE0EF4" w:rsidRPr="00CE0EF4" w:rsidRDefault="00CE0EF4" w:rsidP="00CE0EF4">
      <w:pPr>
        <w:pStyle w:val="PlainText"/>
        <w:ind w:left="360"/>
        <w:rPr>
          <w:rFonts w:cs="Arial"/>
          <w:b/>
          <w:szCs w:val="22"/>
        </w:rPr>
      </w:pPr>
    </w:p>
    <w:p w14:paraId="5410F0AD" w14:textId="77777777" w:rsidR="00332E23" w:rsidRDefault="00332E23" w:rsidP="00332E23">
      <w:pPr>
        <w:pStyle w:val="ListParagraph"/>
        <w:numPr>
          <w:ilvl w:val="0"/>
          <w:numId w:val="4"/>
        </w:numPr>
        <w:autoSpaceDE w:val="0"/>
        <w:autoSpaceDN w:val="0"/>
        <w:adjustRightInd w:val="0"/>
        <w:rPr>
          <w:rFonts w:ascii="TT42ACo00" w:hAnsi="TT42ACo00" w:cs="TT42ACo00"/>
          <w:sz w:val="22"/>
          <w:szCs w:val="22"/>
        </w:rPr>
      </w:pPr>
      <w:r w:rsidRPr="00332E23">
        <w:rPr>
          <w:rFonts w:ascii="TT42ACo00" w:hAnsi="TT42ACo00" w:cs="TT42ACo00"/>
          <w:sz w:val="22"/>
          <w:szCs w:val="22"/>
        </w:rPr>
        <w:t>There are a number of internal and external communications channels available to help the Safer and Stronger Communities Board promote the work it is doing and to seek</w:t>
      </w:r>
      <w:r>
        <w:rPr>
          <w:rFonts w:ascii="TT42ACo00" w:hAnsi="TT42ACo00" w:cs="TT42ACo00"/>
          <w:sz w:val="22"/>
          <w:szCs w:val="22"/>
        </w:rPr>
        <w:t xml:space="preserve"> </w:t>
      </w:r>
      <w:r w:rsidRPr="00332E23">
        <w:rPr>
          <w:rFonts w:ascii="TT42ACo00" w:hAnsi="TT42ACo00" w:cs="TT42ACo00"/>
          <w:sz w:val="22"/>
          <w:szCs w:val="22"/>
        </w:rPr>
        <w:t>views from our member authorities.</w:t>
      </w:r>
    </w:p>
    <w:p w14:paraId="28EDF950" w14:textId="77777777" w:rsidR="00332E23" w:rsidRPr="00332E23" w:rsidRDefault="00332E23" w:rsidP="00332E23">
      <w:pPr>
        <w:pStyle w:val="ListParagraph"/>
        <w:autoSpaceDE w:val="0"/>
        <w:autoSpaceDN w:val="0"/>
        <w:adjustRightInd w:val="0"/>
        <w:ind w:left="360"/>
        <w:rPr>
          <w:rFonts w:ascii="TT42ACo00" w:hAnsi="TT42ACo00" w:cs="TT42ACo00"/>
          <w:sz w:val="22"/>
          <w:szCs w:val="22"/>
        </w:rPr>
      </w:pPr>
    </w:p>
    <w:p w14:paraId="4C822B15" w14:textId="77777777" w:rsidR="00332E23" w:rsidRDefault="00332E23" w:rsidP="00332E23">
      <w:pPr>
        <w:pStyle w:val="ListParagraph"/>
        <w:numPr>
          <w:ilvl w:val="0"/>
          <w:numId w:val="4"/>
        </w:numPr>
        <w:autoSpaceDE w:val="0"/>
        <w:autoSpaceDN w:val="0"/>
        <w:adjustRightInd w:val="0"/>
        <w:rPr>
          <w:rFonts w:ascii="TT42ACo00" w:hAnsi="TT42ACo00" w:cs="TT42ACo00"/>
          <w:sz w:val="22"/>
          <w:szCs w:val="22"/>
        </w:rPr>
      </w:pPr>
      <w:r>
        <w:rPr>
          <w:rFonts w:ascii="TT42ACo00" w:hAnsi="TT42ACo00" w:cs="TT42ACo00"/>
          <w:sz w:val="22"/>
          <w:szCs w:val="22"/>
        </w:rPr>
        <w:t xml:space="preserve">We have a full programme of conferences and events which support these draft priorities and are designed to support members and officers with new issues and improving their ability to protect the public and communities they serve. Conferences already being planned include: </w:t>
      </w:r>
    </w:p>
    <w:p w14:paraId="38BBA73C" w14:textId="77777777" w:rsidR="00332E23" w:rsidRPr="00332E23" w:rsidRDefault="00332E23" w:rsidP="00332E23">
      <w:pPr>
        <w:pStyle w:val="ListParagraph"/>
        <w:rPr>
          <w:rFonts w:ascii="TT42ACo00" w:hAnsi="TT42ACo00" w:cs="TT42ACo00"/>
          <w:sz w:val="22"/>
          <w:szCs w:val="22"/>
        </w:rPr>
      </w:pPr>
    </w:p>
    <w:p w14:paraId="120B8423" w14:textId="77777777" w:rsidR="00C22CF8" w:rsidRDefault="00C22CF8" w:rsidP="00332E23">
      <w:pPr>
        <w:pStyle w:val="ListParagraph"/>
        <w:numPr>
          <w:ilvl w:val="1"/>
          <w:numId w:val="4"/>
        </w:numPr>
        <w:autoSpaceDE w:val="0"/>
        <w:autoSpaceDN w:val="0"/>
        <w:adjustRightInd w:val="0"/>
        <w:rPr>
          <w:rFonts w:ascii="TT42ACo00" w:hAnsi="TT42ACo00" w:cs="TT42ACo00"/>
          <w:sz w:val="22"/>
          <w:szCs w:val="22"/>
        </w:rPr>
      </w:pPr>
      <w:r>
        <w:rPr>
          <w:rFonts w:ascii="TT42ACo00" w:hAnsi="TT42ACo00" w:cs="TT42ACo00"/>
          <w:sz w:val="22"/>
          <w:szCs w:val="22"/>
        </w:rPr>
        <w:t>12 October 2016: FGM Centre Annual Conference (supported by LGA)</w:t>
      </w:r>
    </w:p>
    <w:p w14:paraId="5ED8F64C" w14:textId="77777777" w:rsidR="00860DEB" w:rsidRDefault="00DE095E" w:rsidP="00332E23">
      <w:pPr>
        <w:pStyle w:val="ListParagraph"/>
        <w:numPr>
          <w:ilvl w:val="1"/>
          <w:numId w:val="4"/>
        </w:numPr>
        <w:autoSpaceDE w:val="0"/>
        <w:autoSpaceDN w:val="0"/>
        <w:adjustRightInd w:val="0"/>
        <w:rPr>
          <w:rFonts w:ascii="TT42ACo00" w:hAnsi="TT42ACo00" w:cs="TT42ACo00"/>
          <w:sz w:val="22"/>
          <w:szCs w:val="22"/>
        </w:rPr>
      </w:pPr>
      <w:r>
        <w:rPr>
          <w:rFonts w:ascii="TT42ACo00" w:hAnsi="TT42ACo00" w:cs="TT42ACo00"/>
          <w:sz w:val="22"/>
          <w:szCs w:val="22"/>
        </w:rPr>
        <w:t>18 October 2016</w:t>
      </w:r>
      <w:r w:rsidR="00860DEB">
        <w:rPr>
          <w:rFonts w:ascii="TT42ACo00" w:hAnsi="TT42ACo00" w:cs="TT42ACo00"/>
          <w:sz w:val="22"/>
          <w:szCs w:val="22"/>
        </w:rPr>
        <w:t xml:space="preserve">: </w:t>
      </w:r>
      <w:r w:rsidR="00C22CF8">
        <w:rPr>
          <w:rFonts w:ascii="TT42ACo00" w:hAnsi="TT42ACo00" w:cs="TT42ACo00"/>
          <w:sz w:val="22"/>
          <w:szCs w:val="22"/>
        </w:rPr>
        <w:t>Gambling</w:t>
      </w:r>
      <w:r w:rsidR="00860DEB">
        <w:rPr>
          <w:rFonts w:ascii="TT42ACo00" w:hAnsi="TT42ACo00" w:cs="TT42ACo00"/>
          <w:sz w:val="22"/>
          <w:szCs w:val="22"/>
        </w:rPr>
        <w:t xml:space="preserve"> Licensing Conference</w:t>
      </w:r>
    </w:p>
    <w:p w14:paraId="446DBBAB" w14:textId="77777777" w:rsidR="00332E23" w:rsidRDefault="00DE095E" w:rsidP="00332E23">
      <w:pPr>
        <w:pStyle w:val="ListParagraph"/>
        <w:numPr>
          <w:ilvl w:val="1"/>
          <w:numId w:val="4"/>
        </w:numPr>
        <w:autoSpaceDE w:val="0"/>
        <w:autoSpaceDN w:val="0"/>
        <w:adjustRightInd w:val="0"/>
        <w:rPr>
          <w:rFonts w:ascii="TT42ACo00" w:hAnsi="TT42ACo00" w:cs="TT42ACo00"/>
          <w:sz w:val="22"/>
          <w:szCs w:val="22"/>
        </w:rPr>
      </w:pPr>
      <w:r>
        <w:rPr>
          <w:rFonts w:ascii="TT42ACo00" w:hAnsi="TT42ACo00" w:cs="TT42ACo00"/>
          <w:sz w:val="22"/>
          <w:szCs w:val="22"/>
        </w:rPr>
        <w:t>October-December</w:t>
      </w:r>
      <w:r w:rsidR="00860DEB">
        <w:rPr>
          <w:rFonts w:ascii="TT42ACo00" w:hAnsi="TT42ACo00" w:cs="TT42ACo00"/>
          <w:sz w:val="22"/>
          <w:szCs w:val="22"/>
        </w:rPr>
        <w:t xml:space="preserve">: </w:t>
      </w:r>
      <w:r>
        <w:rPr>
          <w:rFonts w:ascii="TT42ACo00" w:hAnsi="TT42ACo00" w:cs="TT42ACo00"/>
          <w:sz w:val="22"/>
          <w:szCs w:val="22"/>
        </w:rPr>
        <w:t>Taxi licensing Workshops</w:t>
      </w:r>
    </w:p>
    <w:p w14:paraId="40C564D7" w14:textId="77777777" w:rsidR="006658E0" w:rsidRDefault="006658E0" w:rsidP="00332E23">
      <w:pPr>
        <w:pStyle w:val="ListParagraph"/>
        <w:numPr>
          <w:ilvl w:val="1"/>
          <w:numId w:val="4"/>
        </w:numPr>
        <w:autoSpaceDE w:val="0"/>
        <w:autoSpaceDN w:val="0"/>
        <w:adjustRightInd w:val="0"/>
        <w:rPr>
          <w:rFonts w:ascii="TT42ACo00" w:hAnsi="TT42ACo00" w:cs="TT42ACo00"/>
          <w:sz w:val="22"/>
          <w:szCs w:val="22"/>
        </w:rPr>
      </w:pPr>
      <w:r>
        <w:rPr>
          <w:rFonts w:ascii="TT42ACo00" w:hAnsi="TT42ACo00" w:cs="TT42ACo00"/>
          <w:sz w:val="22"/>
          <w:szCs w:val="22"/>
        </w:rPr>
        <w:t>1 December 2016: Burials and Bereavement Conference</w:t>
      </w:r>
    </w:p>
    <w:p w14:paraId="6FBA5E26" w14:textId="77777777" w:rsidR="00332E23" w:rsidRDefault="00C22CF8" w:rsidP="00332E23">
      <w:pPr>
        <w:pStyle w:val="ListParagraph"/>
        <w:numPr>
          <w:ilvl w:val="1"/>
          <w:numId w:val="4"/>
        </w:numPr>
        <w:autoSpaceDE w:val="0"/>
        <w:autoSpaceDN w:val="0"/>
        <w:adjustRightInd w:val="0"/>
        <w:rPr>
          <w:rFonts w:ascii="TT42ACo00" w:hAnsi="TT42ACo00" w:cs="TT42ACo00"/>
          <w:sz w:val="22"/>
          <w:szCs w:val="22"/>
        </w:rPr>
      </w:pPr>
      <w:r>
        <w:rPr>
          <w:rFonts w:ascii="TT42ACo00" w:hAnsi="TT42ACo00" w:cs="TT42ACo00"/>
          <w:sz w:val="22"/>
          <w:szCs w:val="22"/>
        </w:rPr>
        <w:t xml:space="preserve">7 February </w:t>
      </w:r>
      <w:r w:rsidR="00DE095E">
        <w:rPr>
          <w:rFonts w:ascii="TT42ACo00" w:hAnsi="TT42ACo00" w:cs="TT42ACo00"/>
          <w:sz w:val="22"/>
          <w:szCs w:val="22"/>
        </w:rPr>
        <w:t>2017</w:t>
      </w:r>
      <w:r w:rsidR="006758E7">
        <w:rPr>
          <w:rFonts w:ascii="TT42ACo00" w:hAnsi="TT42ACo00" w:cs="TT42ACo00"/>
          <w:sz w:val="22"/>
          <w:szCs w:val="22"/>
        </w:rPr>
        <w:t xml:space="preserve">: </w:t>
      </w:r>
      <w:r w:rsidR="00332E23">
        <w:rPr>
          <w:rFonts w:ascii="TT42ACo00" w:hAnsi="TT42ACo00" w:cs="TT42ACo00"/>
          <w:sz w:val="22"/>
          <w:szCs w:val="22"/>
        </w:rPr>
        <w:t>Annual Licensing Conference</w:t>
      </w:r>
    </w:p>
    <w:p w14:paraId="5BBAD409" w14:textId="77777777" w:rsidR="00332E23" w:rsidRDefault="00C22CF8" w:rsidP="00332E23">
      <w:pPr>
        <w:pStyle w:val="ListParagraph"/>
        <w:numPr>
          <w:ilvl w:val="1"/>
          <w:numId w:val="4"/>
        </w:numPr>
        <w:autoSpaceDE w:val="0"/>
        <w:autoSpaceDN w:val="0"/>
        <w:adjustRightInd w:val="0"/>
        <w:rPr>
          <w:rFonts w:ascii="TT42ACo00" w:hAnsi="TT42ACo00" w:cs="TT42ACo00"/>
          <w:sz w:val="22"/>
          <w:szCs w:val="22"/>
        </w:rPr>
      </w:pPr>
      <w:r>
        <w:rPr>
          <w:rFonts w:ascii="TT42ACo00" w:hAnsi="TT42ACo00" w:cs="TT42ACo00"/>
          <w:sz w:val="22"/>
          <w:szCs w:val="22"/>
        </w:rPr>
        <w:t xml:space="preserve">7-8 March </w:t>
      </w:r>
      <w:r w:rsidR="00DE095E">
        <w:rPr>
          <w:rFonts w:ascii="TT42ACo00" w:hAnsi="TT42ACo00" w:cs="TT42ACo00"/>
          <w:sz w:val="22"/>
          <w:szCs w:val="22"/>
        </w:rPr>
        <w:t>2017</w:t>
      </w:r>
      <w:r w:rsidR="00860DEB">
        <w:rPr>
          <w:rFonts w:ascii="TT42ACo00" w:hAnsi="TT42ACo00" w:cs="TT42ACo00"/>
          <w:sz w:val="22"/>
          <w:szCs w:val="22"/>
        </w:rPr>
        <w:t xml:space="preserve">: </w:t>
      </w:r>
      <w:r w:rsidR="00332E23">
        <w:rPr>
          <w:rFonts w:ascii="TT42ACo00" w:hAnsi="TT42ACo00" w:cs="TT42ACo00"/>
          <w:sz w:val="22"/>
          <w:szCs w:val="22"/>
        </w:rPr>
        <w:t xml:space="preserve">Annual Fire Conference </w:t>
      </w:r>
    </w:p>
    <w:p w14:paraId="29653D67" w14:textId="77777777" w:rsidR="00332E23" w:rsidRPr="00332E23" w:rsidRDefault="00332E23" w:rsidP="00332E23">
      <w:pPr>
        <w:pStyle w:val="ListParagraph"/>
        <w:rPr>
          <w:rFonts w:ascii="TT42ACo00" w:hAnsi="TT42ACo00" w:cs="TT42ACo00"/>
          <w:sz w:val="22"/>
          <w:szCs w:val="22"/>
        </w:rPr>
      </w:pPr>
    </w:p>
    <w:p w14:paraId="2BF173FB" w14:textId="77777777" w:rsidR="00B05BC2" w:rsidRDefault="000529B7" w:rsidP="00B05BC2">
      <w:pPr>
        <w:pStyle w:val="ListParagraph"/>
        <w:numPr>
          <w:ilvl w:val="0"/>
          <w:numId w:val="4"/>
        </w:numPr>
        <w:autoSpaceDE w:val="0"/>
        <w:autoSpaceDN w:val="0"/>
        <w:adjustRightInd w:val="0"/>
        <w:rPr>
          <w:rFonts w:ascii="TT42ACo00" w:hAnsi="TT42ACo00" w:cs="TT42ACo00"/>
          <w:sz w:val="22"/>
          <w:szCs w:val="22"/>
        </w:rPr>
      </w:pPr>
      <w:r>
        <w:rPr>
          <w:rFonts w:ascii="TT42ACo00" w:hAnsi="TT42ACo00" w:cs="TT42ACo00"/>
          <w:sz w:val="22"/>
          <w:szCs w:val="22"/>
        </w:rPr>
        <w:t>As set out above, w</w:t>
      </w:r>
      <w:r w:rsidR="006658E0">
        <w:rPr>
          <w:rFonts w:ascii="TT42ACo00" w:hAnsi="TT42ACo00" w:cs="TT42ACo00"/>
          <w:sz w:val="22"/>
          <w:szCs w:val="22"/>
        </w:rPr>
        <w:t xml:space="preserve">e are also planning a </w:t>
      </w:r>
      <w:r w:rsidR="00B05BC2">
        <w:rPr>
          <w:rFonts w:ascii="TT42ACo00" w:hAnsi="TT42ACo00" w:cs="TT42ACo00"/>
          <w:sz w:val="22"/>
          <w:szCs w:val="22"/>
        </w:rPr>
        <w:t xml:space="preserve">series of </w:t>
      </w:r>
      <w:r w:rsidR="006658E0">
        <w:rPr>
          <w:rFonts w:ascii="TT42ACo00" w:hAnsi="TT42ACo00" w:cs="TT42ACo00"/>
          <w:sz w:val="22"/>
          <w:szCs w:val="22"/>
        </w:rPr>
        <w:t>regional workshops, in conjunction with the Home Office, on counter extremism.</w:t>
      </w:r>
    </w:p>
    <w:p w14:paraId="68FB3CAC" w14:textId="77777777" w:rsidR="00B05BC2" w:rsidRPr="00B05BC2" w:rsidRDefault="00B05BC2" w:rsidP="00B05BC2">
      <w:pPr>
        <w:autoSpaceDE w:val="0"/>
        <w:autoSpaceDN w:val="0"/>
        <w:adjustRightInd w:val="0"/>
        <w:rPr>
          <w:rFonts w:ascii="TT42ACo00" w:hAnsi="TT42ACo00" w:cs="TT42ACo00"/>
          <w:sz w:val="22"/>
          <w:szCs w:val="22"/>
        </w:rPr>
      </w:pPr>
    </w:p>
    <w:p w14:paraId="0953802F" w14:textId="77777777" w:rsidR="00332E23" w:rsidRDefault="00FC24CD" w:rsidP="00332E23">
      <w:pPr>
        <w:pStyle w:val="ListParagraph"/>
        <w:numPr>
          <w:ilvl w:val="0"/>
          <w:numId w:val="4"/>
        </w:numPr>
        <w:autoSpaceDE w:val="0"/>
        <w:autoSpaceDN w:val="0"/>
        <w:adjustRightInd w:val="0"/>
        <w:rPr>
          <w:rFonts w:ascii="TT42ACo00" w:hAnsi="TT42ACo00" w:cs="TT42ACo00"/>
          <w:sz w:val="22"/>
          <w:szCs w:val="22"/>
        </w:rPr>
      </w:pPr>
      <w:r w:rsidRPr="00FC24CD">
        <w:rPr>
          <w:rFonts w:ascii="TT42ACo00" w:hAnsi="TT42ACo00" w:cs="TT42ACo00"/>
          <w:sz w:val="22"/>
          <w:szCs w:val="22"/>
        </w:rPr>
        <w:t>We also have a dedicated section on the LGA website, regular e-bulletins with a personal introduction from the Chair of the Board</w:t>
      </w:r>
      <w:r w:rsidR="00332E23">
        <w:rPr>
          <w:rFonts w:ascii="TT42ACo00" w:hAnsi="TT42ACo00" w:cs="TT42ACo00"/>
          <w:sz w:val="22"/>
          <w:szCs w:val="22"/>
        </w:rPr>
        <w:t xml:space="preserve"> (though the LGA’s e-bulletins are due to be reviewed)</w:t>
      </w:r>
      <w:r w:rsidRPr="00FC24CD">
        <w:rPr>
          <w:rFonts w:ascii="TT42ACo00" w:hAnsi="TT42ACo00" w:cs="TT42ACo00"/>
          <w:sz w:val="22"/>
          <w:szCs w:val="22"/>
        </w:rPr>
        <w:t>, outside speaking engagements and interviews, advisory networks, features and news items in First magazine as well as twitter accounts which are used to keep in touch with our</w:t>
      </w:r>
      <w:r>
        <w:rPr>
          <w:rFonts w:ascii="TT42ACo00" w:hAnsi="TT42ACo00" w:cs="TT42ACo00"/>
          <w:sz w:val="22"/>
          <w:szCs w:val="22"/>
        </w:rPr>
        <w:t xml:space="preserve"> members. </w:t>
      </w:r>
    </w:p>
    <w:p w14:paraId="63693B8D" w14:textId="77777777" w:rsidR="00332E23" w:rsidRDefault="00332E23" w:rsidP="00332E23">
      <w:pPr>
        <w:pStyle w:val="ListParagraph"/>
        <w:autoSpaceDE w:val="0"/>
        <w:autoSpaceDN w:val="0"/>
        <w:adjustRightInd w:val="0"/>
        <w:ind w:left="360"/>
        <w:rPr>
          <w:rFonts w:ascii="TT42ACo00" w:hAnsi="TT42ACo00" w:cs="TT42ACo00"/>
          <w:sz w:val="22"/>
          <w:szCs w:val="22"/>
        </w:rPr>
      </w:pPr>
    </w:p>
    <w:p w14:paraId="571E7E11" w14:textId="77777777" w:rsidR="00332E23" w:rsidRPr="00332E23" w:rsidRDefault="00332E23" w:rsidP="00332E23">
      <w:pPr>
        <w:pStyle w:val="ListParagraph"/>
        <w:autoSpaceDE w:val="0"/>
        <w:autoSpaceDN w:val="0"/>
        <w:adjustRightInd w:val="0"/>
        <w:ind w:left="0"/>
        <w:rPr>
          <w:rFonts w:ascii="TT42ACo00" w:hAnsi="TT42ACo00" w:cs="TT42ACo00"/>
          <w:b/>
          <w:sz w:val="22"/>
          <w:szCs w:val="22"/>
        </w:rPr>
      </w:pPr>
      <w:r w:rsidRPr="00332E23">
        <w:rPr>
          <w:rFonts w:ascii="TT42ACo00" w:hAnsi="TT42ACo00" w:cs="TT42ACo00"/>
          <w:b/>
          <w:sz w:val="22"/>
          <w:szCs w:val="22"/>
        </w:rPr>
        <w:t>Next steps</w:t>
      </w:r>
    </w:p>
    <w:p w14:paraId="47D736F4" w14:textId="77777777" w:rsidR="00332E23" w:rsidRDefault="00332E23" w:rsidP="00332E23">
      <w:pPr>
        <w:pStyle w:val="ListParagraph"/>
        <w:autoSpaceDE w:val="0"/>
        <w:autoSpaceDN w:val="0"/>
        <w:adjustRightInd w:val="0"/>
        <w:ind w:left="360"/>
        <w:rPr>
          <w:rFonts w:ascii="TT42ACo00" w:hAnsi="TT42ACo00" w:cs="TT42ACo00"/>
          <w:sz w:val="22"/>
          <w:szCs w:val="22"/>
        </w:rPr>
      </w:pPr>
    </w:p>
    <w:p w14:paraId="2664143F" w14:textId="62164BC1" w:rsidR="00FC24CD" w:rsidRDefault="00332E23" w:rsidP="00332E23">
      <w:pPr>
        <w:pStyle w:val="ListParagraph"/>
        <w:numPr>
          <w:ilvl w:val="0"/>
          <w:numId w:val="4"/>
        </w:numPr>
        <w:autoSpaceDE w:val="0"/>
        <w:autoSpaceDN w:val="0"/>
        <w:adjustRightInd w:val="0"/>
        <w:rPr>
          <w:rFonts w:ascii="TT42ACo00" w:hAnsi="TT42ACo00" w:cs="TT42ACo00"/>
          <w:sz w:val="22"/>
          <w:szCs w:val="22"/>
        </w:rPr>
      </w:pPr>
      <w:r w:rsidRPr="00332E23">
        <w:rPr>
          <w:rFonts w:ascii="TT42ACo00" w:hAnsi="TT42ACo00" w:cs="TT42ACo00"/>
          <w:sz w:val="22"/>
          <w:szCs w:val="22"/>
        </w:rPr>
        <w:lastRenderedPageBreak/>
        <w:t xml:space="preserve">Following </w:t>
      </w:r>
      <w:r>
        <w:rPr>
          <w:rFonts w:ascii="TT42ACo00" w:hAnsi="TT42ACo00" w:cs="TT42ACo00"/>
          <w:sz w:val="22"/>
          <w:szCs w:val="22"/>
        </w:rPr>
        <w:t xml:space="preserve">the Board’s </w:t>
      </w:r>
      <w:r w:rsidRPr="00332E23">
        <w:rPr>
          <w:rFonts w:ascii="TT42ACo00" w:hAnsi="TT42ACo00" w:cs="TT42ACo00"/>
          <w:sz w:val="22"/>
          <w:szCs w:val="22"/>
        </w:rPr>
        <w:t xml:space="preserve">discussion, officers will prepare a detailed work programme to manage the day to day work. </w:t>
      </w:r>
      <w:r>
        <w:rPr>
          <w:rFonts w:ascii="TT42ACo00" w:hAnsi="TT42ACo00" w:cs="TT42ACo00"/>
          <w:sz w:val="22"/>
          <w:szCs w:val="22"/>
        </w:rPr>
        <w:t xml:space="preserve">The priorities agreed by the Board will also be reported back to the LGA Executive. </w:t>
      </w:r>
    </w:p>
    <w:p w14:paraId="6869740D" w14:textId="77777777" w:rsidR="00332E23" w:rsidRDefault="00332E23" w:rsidP="00332E23">
      <w:pPr>
        <w:pStyle w:val="ListParagraph"/>
        <w:rPr>
          <w:rFonts w:ascii="TT42ACo00" w:hAnsi="TT42ACo00" w:cs="TT42ACo00"/>
          <w:sz w:val="22"/>
          <w:szCs w:val="22"/>
        </w:rPr>
      </w:pPr>
    </w:p>
    <w:p w14:paraId="3095F549" w14:textId="77777777" w:rsidR="00332E23" w:rsidRPr="00332E23" w:rsidRDefault="00332E23" w:rsidP="00332E23">
      <w:pPr>
        <w:pStyle w:val="ListParagraph"/>
        <w:ind w:left="0"/>
        <w:rPr>
          <w:rFonts w:ascii="TT42ACo00" w:hAnsi="TT42ACo00" w:cs="TT42ACo00"/>
          <w:b/>
          <w:sz w:val="22"/>
          <w:szCs w:val="22"/>
        </w:rPr>
      </w:pPr>
      <w:r w:rsidRPr="00332E23">
        <w:rPr>
          <w:rFonts w:ascii="TT42ACo00" w:hAnsi="TT42ACo00" w:cs="TT42ACo00"/>
          <w:b/>
          <w:sz w:val="22"/>
          <w:szCs w:val="22"/>
        </w:rPr>
        <w:t>Financial implications</w:t>
      </w:r>
    </w:p>
    <w:p w14:paraId="03EFADD7" w14:textId="77777777" w:rsidR="00332E23" w:rsidRPr="00332E23" w:rsidRDefault="00332E23" w:rsidP="00332E23">
      <w:pPr>
        <w:pStyle w:val="ListParagraph"/>
        <w:rPr>
          <w:rFonts w:ascii="TT42ACo00" w:hAnsi="TT42ACo00" w:cs="TT42ACo00"/>
          <w:sz w:val="22"/>
          <w:szCs w:val="22"/>
        </w:rPr>
      </w:pPr>
    </w:p>
    <w:p w14:paraId="1CECCD0D" w14:textId="68034C75" w:rsidR="00332E23" w:rsidRDefault="00BF6392" w:rsidP="00332E23">
      <w:pPr>
        <w:pStyle w:val="ListParagraph"/>
        <w:numPr>
          <w:ilvl w:val="0"/>
          <w:numId w:val="4"/>
        </w:numPr>
        <w:autoSpaceDE w:val="0"/>
        <w:autoSpaceDN w:val="0"/>
        <w:adjustRightInd w:val="0"/>
        <w:rPr>
          <w:rFonts w:ascii="TT42ACo00" w:hAnsi="TT42ACo00" w:cs="TT42ACo00"/>
          <w:sz w:val="22"/>
          <w:szCs w:val="22"/>
        </w:rPr>
      </w:pPr>
      <w:r>
        <w:rPr>
          <w:rFonts w:ascii="TT42ACo00" w:hAnsi="TT42ACo00" w:cs="TT42ACo00"/>
          <w:sz w:val="22"/>
          <w:szCs w:val="22"/>
        </w:rPr>
        <w:t xml:space="preserve">This programme of work </w:t>
      </w:r>
      <w:r w:rsidR="001370ED">
        <w:rPr>
          <w:rFonts w:ascii="TT42ACo00" w:hAnsi="TT42ACo00" w:cs="TT42ACo00"/>
          <w:sz w:val="22"/>
          <w:szCs w:val="22"/>
        </w:rPr>
        <w:t>will be delivered with</w:t>
      </w:r>
      <w:r>
        <w:rPr>
          <w:rFonts w:ascii="TT42ACo00" w:hAnsi="TT42ACo00" w:cs="TT42ACo00"/>
          <w:sz w:val="22"/>
          <w:szCs w:val="22"/>
        </w:rPr>
        <w:t xml:space="preserve"> existing resources. </w:t>
      </w:r>
      <w:r w:rsidR="001370ED">
        <w:rPr>
          <w:rFonts w:ascii="TT42ACo00" w:hAnsi="TT42ACo00" w:cs="TT42ACo00"/>
          <w:sz w:val="22"/>
          <w:szCs w:val="22"/>
        </w:rPr>
        <w:t>Additional supporting projects may be commissioned subject to funds being available from a small directorate / team budget.</w:t>
      </w:r>
    </w:p>
    <w:p w14:paraId="43832B30" w14:textId="77777777" w:rsidR="00147DBE" w:rsidRDefault="00147DBE" w:rsidP="00147DBE">
      <w:pPr>
        <w:autoSpaceDE w:val="0"/>
        <w:autoSpaceDN w:val="0"/>
        <w:adjustRightInd w:val="0"/>
      </w:pPr>
    </w:p>
    <w:p w14:paraId="1A1CA482" w14:textId="77777777" w:rsidR="00147DBE" w:rsidRDefault="00147DBE" w:rsidP="00147DBE">
      <w:pPr>
        <w:autoSpaceDE w:val="0"/>
        <w:autoSpaceDN w:val="0"/>
        <w:adjustRightInd w:val="0"/>
      </w:pPr>
    </w:p>
    <w:p w14:paraId="57DFE16C" w14:textId="77777777" w:rsidR="00147DBE" w:rsidRPr="00147DBE" w:rsidRDefault="00147DBE" w:rsidP="00147DBE">
      <w:pPr>
        <w:autoSpaceDE w:val="0"/>
        <w:autoSpaceDN w:val="0"/>
        <w:adjustRightInd w:val="0"/>
        <w:rPr>
          <w:rFonts w:ascii="TT42ACo00" w:hAnsi="TT42ACo00" w:cs="TT42ACo00"/>
          <w:sz w:val="22"/>
          <w:szCs w:val="22"/>
        </w:rPr>
      </w:pPr>
    </w:p>
    <w:sectPr w:rsidR="00147DBE" w:rsidRPr="00147DBE">
      <w:head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4450E" w14:textId="77777777" w:rsidR="00E85E5A" w:rsidRDefault="00E85E5A" w:rsidP="0023228A">
      <w:r>
        <w:separator/>
      </w:r>
    </w:p>
  </w:endnote>
  <w:endnote w:type="continuationSeparator" w:id="0">
    <w:p w14:paraId="6989474C" w14:textId="77777777" w:rsidR="00E85E5A" w:rsidRDefault="00E85E5A" w:rsidP="0023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TT42A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D1C41" w14:textId="77777777" w:rsidR="00E85E5A" w:rsidRDefault="00E85E5A" w:rsidP="0023228A">
      <w:r>
        <w:separator/>
      </w:r>
    </w:p>
  </w:footnote>
  <w:footnote w:type="continuationSeparator" w:id="0">
    <w:p w14:paraId="08A44D08" w14:textId="77777777" w:rsidR="00E85E5A" w:rsidRDefault="00E85E5A" w:rsidP="0023228A">
      <w:r>
        <w:continuationSeparator/>
      </w:r>
    </w:p>
  </w:footnote>
  <w:footnote w:id="1">
    <w:p w14:paraId="361A0A22" w14:textId="77777777" w:rsidR="00E85E5A" w:rsidRPr="00E85E5A" w:rsidRDefault="00E85E5A" w:rsidP="00CE0F02">
      <w:pPr>
        <w:pStyle w:val="FootnoteText"/>
        <w:rPr>
          <w:rFonts w:ascii="Arial" w:hAnsi="Arial" w:cs="Arial"/>
        </w:rPr>
      </w:pPr>
      <w:r w:rsidRPr="00E85E5A">
        <w:rPr>
          <w:rStyle w:val="FootnoteReference"/>
          <w:rFonts w:ascii="Arial" w:hAnsi="Arial" w:cs="Arial"/>
        </w:rPr>
        <w:footnoteRef/>
      </w:r>
      <w:r w:rsidRPr="00E85E5A">
        <w:rPr>
          <w:rFonts w:ascii="Arial" w:hAnsi="Arial" w:cs="Arial"/>
        </w:rPr>
        <w:t xml:space="preserve"> Local Authority Coordination of Regulatory Services, disbanded in 2011</w:t>
      </w:r>
    </w:p>
  </w:footnote>
  <w:footnote w:id="2">
    <w:p w14:paraId="1C58993D" w14:textId="4997CEFE" w:rsidR="00E85E5A" w:rsidRPr="00900E9E" w:rsidRDefault="00E85E5A">
      <w:pPr>
        <w:pStyle w:val="FootnoteText"/>
        <w:rPr>
          <w:rFonts w:ascii="Arial" w:hAnsi="Arial" w:cs="Arial"/>
        </w:rPr>
      </w:pPr>
      <w:r w:rsidRPr="00900E9E">
        <w:rPr>
          <w:rStyle w:val="FootnoteReference"/>
          <w:rFonts w:ascii="Arial" w:hAnsi="Arial" w:cs="Arial"/>
        </w:rPr>
        <w:footnoteRef/>
      </w:r>
      <w:r w:rsidRPr="00900E9E">
        <w:rPr>
          <w:rFonts w:ascii="Arial" w:hAnsi="Arial" w:cs="Arial"/>
        </w:rPr>
        <w:t xml:space="preserve"> Linked to the EU Services Directive being transposed into UK law.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68" w:type="dxa"/>
      <w:tblLook w:val="01E0" w:firstRow="1" w:lastRow="1" w:firstColumn="1" w:lastColumn="1" w:noHBand="0" w:noVBand="0"/>
    </w:tblPr>
    <w:tblGrid>
      <w:gridCol w:w="5495"/>
      <w:gridCol w:w="3273"/>
    </w:tblGrid>
    <w:tr w:rsidR="00E85E5A" w:rsidRPr="0023228A" w14:paraId="65018E6B" w14:textId="77777777" w:rsidTr="009F6821">
      <w:tc>
        <w:tcPr>
          <w:tcW w:w="5495" w:type="dxa"/>
          <w:vMerge w:val="restart"/>
          <w:hideMark/>
        </w:tcPr>
        <w:p w14:paraId="3C3C294B" w14:textId="77777777" w:rsidR="00E85E5A" w:rsidRPr="0023228A" w:rsidRDefault="00E85E5A">
          <w:pPr>
            <w:pStyle w:val="Header"/>
            <w:tabs>
              <w:tab w:val="center" w:pos="2923"/>
            </w:tabs>
            <w:rPr>
              <w:rFonts w:ascii="Arial" w:hAnsi="Arial" w:cs="Arial"/>
              <w:sz w:val="22"/>
              <w:szCs w:val="22"/>
            </w:rPr>
          </w:pPr>
          <w:r w:rsidRPr="0023228A">
            <w:rPr>
              <w:rFonts w:ascii="Arial" w:hAnsi="Arial" w:cs="Arial"/>
              <w:noProof/>
              <w:sz w:val="22"/>
              <w:szCs w:val="22"/>
            </w:rPr>
            <w:drawing>
              <wp:inline distT="0" distB="0" distL="0" distR="0" wp14:anchorId="6C636693" wp14:editId="3C63001A">
                <wp:extent cx="1432560" cy="84582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r w:rsidRPr="0023228A">
            <w:rPr>
              <w:rFonts w:ascii="Arial" w:hAnsi="Arial" w:cs="Arial"/>
              <w:sz w:val="22"/>
              <w:szCs w:val="22"/>
            </w:rPr>
            <w:tab/>
          </w:r>
        </w:p>
      </w:tc>
      <w:tc>
        <w:tcPr>
          <w:tcW w:w="3273" w:type="dxa"/>
          <w:hideMark/>
        </w:tcPr>
        <w:p w14:paraId="6B08F7E3" w14:textId="77777777" w:rsidR="00E85E5A" w:rsidRDefault="00E85E5A">
          <w:pPr>
            <w:pStyle w:val="Header"/>
            <w:rPr>
              <w:rFonts w:ascii="Arial" w:hAnsi="Arial" w:cs="Arial"/>
              <w:b/>
              <w:sz w:val="22"/>
              <w:szCs w:val="22"/>
            </w:rPr>
          </w:pPr>
        </w:p>
        <w:p w14:paraId="521AB0E8" w14:textId="77777777" w:rsidR="00E85E5A" w:rsidRPr="0023228A" w:rsidRDefault="00E85E5A" w:rsidP="009C096E">
          <w:pPr>
            <w:pStyle w:val="Header"/>
            <w:rPr>
              <w:rFonts w:ascii="Arial" w:hAnsi="Arial" w:cs="Arial"/>
              <w:b/>
              <w:sz w:val="22"/>
              <w:szCs w:val="22"/>
            </w:rPr>
          </w:pPr>
          <w:r>
            <w:rPr>
              <w:rFonts w:ascii="Arial" w:hAnsi="Arial" w:cs="Arial"/>
              <w:b/>
              <w:sz w:val="22"/>
              <w:szCs w:val="22"/>
            </w:rPr>
            <w:t xml:space="preserve">Safer and Stronger Communities Board </w:t>
          </w:r>
        </w:p>
      </w:tc>
    </w:tr>
    <w:tr w:rsidR="00E85E5A" w:rsidRPr="0023228A" w14:paraId="2AFB7B05" w14:textId="77777777" w:rsidTr="009F6821">
      <w:trPr>
        <w:trHeight w:val="605"/>
      </w:trPr>
      <w:tc>
        <w:tcPr>
          <w:tcW w:w="5495" w:type="dxa"/>
          <w:vMerge/>
          <w:vAlign w:val="center"/>
          <w:hideMark/>
        </w:tcPr>
        <w:p w14:paraId="07C18C6C" w14:textId="77777777" w:rsidR="00E85E5A" w:rsidRPr="0023228A" w:rsidRDefault="00E85E5A">
          <w:pPr>
            <w:rPr>
              <w:rFonts w:ascii="Arial" w:hAnsi="Arial" w:cs="Arial"/>
              <w:sz w:val="22"/>
              <w:szCs w:val="22"/>
            </w:rPr>
          </w:pPr>
        </w:p>
      </w:tc>
      <w:tc>
        <w:tcPr>
          <w:tcW w:w="3273" w:type="dxa"/>
          <w:hideMark/>
        </w:tcPr>
        <w:p w14:paraId="2734ADC7" w14:textId="77777777" w:rsidR="00E85E5A" w:rsidRPr="0023228A" w:rsidRDefault="00E85E5A" w:rsidP="0098632F">
          <w:pPr>
            <w:pStyle w:val="Header"/>
            <w:spacing w:before="60"/>
            <w:rPr>
              <w:rFonts w:ascii="Arial" w:hAnsi="Arial" w:cs="Arial"/>
              <w:sz w:val="22"/>
              <w:szCs w:val="22"/>
            </w:rPr>
          </w:pPr>
          <w:r w:rsidRPr="0023228A">
            <w:rPr>
              <w:rFonts w:ascii="Arial" w:hAnsi="Arial" w:cs="Arial"/>
              <w:sz w:val="22"/>
              <w:szCs w:val="22"/>
            </w:rPr>
            <w:t>1</w:t>
          </w:r>
          <w:r>
            <w:rPr>
              <w:rFonts w:ascii="Arial" w:hAnsi="Arial" w:cs="Arial"/>
              <w:sz w:val="22"/>
              <w:szCs w:val="22"/>
            </w:rPr>
            <w:t>2</w:t>
          </w:r>
          <w:r w:rsidRPr="0023228A">
            <w:rPr>
              <w:rFonts w:ascii="Arial" w:hAnsi="Arial" w:cs="Arial"/>
              <w:sz w:val="22"/>
              <w:szCs w:val="22"/>
            </w:rPr>
            <w:t xml:space="preserve"> </w:t>
          </w:r>
          <w:r>
            <w:rPr>
              <w:rFonts w:ascii="Arial" w:hAnsi="Arial" w:cs="Arial"/>
              <w:sz w:val="22"/>
              <w:szCs w:val="22"/>
            </w:rPr>
            <w:t>September 2016</w:t>
          </w:r>
          <w:r w:rsidRPr="0023228A">
            <w:rPr>
              <w:rFonts w:ascii="Arial" w:hAnsi="Arial" w:cs="Arial"/>
              <w:sz w:val="22"/>
              <w:szCs w:val="22"/>
            </w:rPr>
            <w:t xml:space="preserve"> </w:t>
          </w:r>
        </w:p>
      </w:tc>
    </w:tr>
    <w:tr w:rsidR="00E85E5A" w:rsidRPr="0023228A" w14:paraId="42E119E4" w14:textId="77777777" w:rsidTr="009F6821">
      <w:trPr>
        <w:trHeight w:val="68"/>
      </w:trPr>
      <w:tc>
        <w:tcPr>
          <w:tcW w:w="5495" w:type="dxa"/>
          <w:vMerge/>
          <w:vAlign w:val="center"/>
          <w:hideMark/>
        </w:tcPr>
        <w:p w14:paraId="0CAB2C7C" w14:textId="77777777" w:rsidR="00E85E5A" w:rsidRPr="0023228A" w:rsidRDefault="00E85E5A">
          <w:pPr>
            <w:rPr>
              <w:rFonts w:ascii="Arial" w:hAnsi="Arial" w:cs="Arial"/>
              <w:sz w:val="22"/>
              <w:szCs w:val="22"/>
            </w:rPr>
          </w:pPr>
        </w:p>
      </w:tc>
      <w:tc>
        <w:tcPr>
          <w:tcW w:w="3273" w:type="dxa"/>
        </w:tcPr>
        <w:p w14:paraId="1DD65755" w14:textId="77777777" w:rsidR="00E85E5A" w:rsidRPr="0023228A" w:rsidRDefault="00E85E5A">
          <w:pPr>
            <w:pStyle w:val="Header"/>
            <w:spacing w:before="60"/>
            <w:rPr>
              <w:rFonts w:ascii="Arial" w:hAnsi="Arial" w:cs="Arial"/>
              <w:b/>
              <w:sz w:val="22"/>
              <w:szCs w:val="22"/>
            </w:rPr>
          </w:pPr>
        </w:p>
      </w:tc>
    </w:tr>
  </w:tbl>
  <w:p w14:paraId="50AB1AA4" w14:textId="77777777" w:rsidR="00E85E5A" w:rsidRDefault="00E85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F6A"/>
    <w:multiLevelType w:val="hybridMultilevel"/>
    <w:tmpl w:val="AE2C5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861716"/>
    <w:multiLevelType w:val="hybridMultilevel"/>
    <w:tmpl w:val="00AC0716"/>
    <w:lvl w:ilvl="0" w:tplc="B352D48E">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F68D7"/>
    <w:multiLevelType w:val="hybridMultilevel"/>
    <w:tmpl w:val="88CA3006"/>
    <w:lvl w:ilvl="0" w:tplc="B6DA6C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45C12"/>
    <w:multiLevelType w:val="hybridMultilevel"/>
    <w:tmpl w:val="09C63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4B4684"/>
    <w:multiLevelType w:val="multilevel"/>
    <w:tmpl w:val="F4BC6C9C"/>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AE664B"/>
    <w:multiLevelType w:val="hybridMultilevel"/>
    <w:tmpl w:val="C052A91E"/>
    <w:lvl w:ilvl="0" w:tplc="C8226D0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FFF796C"/>
    <w:multiLevelType w:val="hybridMultilevel"/>
    <w:tmpl w:val="61402BAC"/>
    <w:lvl w:ilvl="0" w:tplc="08090001">
      <w:start w:val="1"/>
      <w:numFmt w:val="bullet"/>
      <w:lvlText w:val=""/>
      <w:lvlJc w:val="left"/>
      <w:pPr>
        <w:ind w:left="720" w:hanging="360"/>
      </w:pPr>
      <w:rPr>
        <w:rFonts w:ascii="Symbol" w:hAnsi="Symbol" w:hint="default"/>
      </w:rPr>
    </w:lvl>
    <w:lvl w:ilvl="1" w:tplc="6B9E1F30">
      <w:numFmt w:val="bullet"/>
      <w:lvlText w:val="-"/>
      <w:lvlJc w:val="left"/>
      <w:pPr>
        <w:ind w:left="1440" w:hanging="360"/>
      </w:pPr>
      <w:rPr>
        <w:rFonts w:ascii="Arial" w:eastAsiaTheme="minorHAnsi"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846680"/>
    <w:multiLevelType w:val="hybridMultilevel"/>
    <w:tmpl w:val="C052A91E"/>
    <w:lvl w:ilvl="0" w:tplc="C8226D0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0544B8"/>
    <w:multiLevelType w:val="multilevel"/>
    <w:tmpl w:val="07AE04AC"/>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0"/>
  </w:num>
  <w:num w:numId="3">
    <w:abstractNumId w:val="4"/>
  </w:num>
  <w:num w:numId="4">
    <w:abstractNumId w:val="1"/>
  </w:num>
  <w:num w:numId="5">
    <w:abstractNumId w:val="2"/>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A3"/>
    <w:rsid w:val="00010D20"/>
    <w:rsid w:val="00010FA3"/>
    <w:rsid w:val="00011A52"/>
    <w:rsid w:val="00020591"/>
    <w:rsid w:val="00023F70"/>
    <w:rsid w:val="000240E1"/>
    <w:rsid w:val="0004145A"/>
    <w:rsid w:val="000529B7"/>
    <w:rsid w:val="0006436E"/>
    <w:rsid w:val="00072802"/>
    <w:rsid w:val="000B4A17"/>
    <w:rsid w:val="000B628E"/>
    <w:rsid w:val="000C182F"/>
    <w:rsid w:val="000E493F"/>
    <w:rsid w:val="000E660A"/>
    <w:rsid w:val="000E66FB"/>
    <w:rsid w:val="001037F2"/>
    <w:rsid w:val="00111C14"/>
    <w:rsid w:val="00123A25"/>
    <w:rsid w:val="001370ED"/>
    <w:rsid w:val="00137903"/>
    <w:rsid w:val="001437B7"/>
    <w:rsid w:val="00147DBE"/>
    <w:rsid w:val="00181C33"/>
    <w:rsid w:val="001863C9"/>
    <w:rsid w:val="0018765A"/>
    <w:rsid w:val="001A525B"/>
    <w:rsid w:val="001D6B8C"/>
    <w:rsid w:val="001E5D67"/>
    <w:rsid w:val="001F6BB5"/>
    <w:rsid w:val="00202296"/>
    <w:rsid w:val="00215B80"/>
    <w:rsid w:val="0023228A"/>
    <w:rsid w:val="00234DC9"/>
    <w:rsid w:val="00251ECB"/>
    <w:rsid w:val="002640EA"/>
    <w:rsid w:val="00264C6A"/>
    <w:rsid w:val="00280980"/>
    <w:rsid w:val="00292DD8"/>
    <w:rsid w:val="002E1899"/>
    <w:rsid w:val="002E6B9A"/>
    <w:rsid w:val="00314117"/>
    <w:rsid w:val="003202FC"/>
    <w:rsid w:val="003233DF"/>
    <w:rsid w:val="00332E23"/>
    <w:rsid w:val="0033630B"/>
    <w:rsid w:val="00375B4B"/>
    <w:rsid w:val="00385854"/>
    <w:rsid w:val="003862C1"/>
    <w:rsid w:val="00386F1E"/>
    <w:rsid w:val="00387DFB"/>
    <w:rsid w:val="00393998"/>
    <w:rsid w:val="003944CC"/>
    <w:rsid w:val="003E17D5"/>
    <w:rsid w:val="0040219F"/>
    <w:rsid w:val="00404EF7"/>
    <w:rsid w:val="004069BE"/>
    <w:rsid w:val="004314FD"/>
    <w:rsid w:val="00442AA0"/>
    <w:rsid w:val="00487502"/>
    <w:rsid w:val="004C1E1D"/>
    <w:rsid w:val="004D3ECA"/>
    <w:rsid w:val="004E4B63"/>
    <w:rsid w:val="004E7691"/>
    <w:rsid w:val="00502506"/>
    <w:rsid w:val="00503657"/>
    <w:rsid w:val="00515B13"/>
    <w:rsid w:val="00534B51"/>
    <w:rsid w:val="005403B4"/>
    <w:rsid w:val="00543307"/>
    <w:rsid w:val="00546ED0"/>
    <w:rsid w:val="00552CAD"/>
    <w:rsid w:val="005A73ED"/>
    <w:rsid w:val="005B7E74"/>
    <w:rsid w:val="005C4641"/>
    <w:rsid w:val="005D59AD"/>
    <w:rsid w:val="005E29BF"/>
    <w:rsid w:val="005E423C"/>
    <w:rsid w:val="005F0C8F"/>
    <w:rsid w:val="005F3B65"/>
    <w:rsid w:val="005F45C8"/>
    <w:rsid w:val="00617493"/>
    <w:rsid w:val="006221FD"/>
    <w:rsid w:val="00622680"/>
    <w:rsid w:val="00653C25"/>
    <w:rsid w:val="006658E0"/>
    <w:rsid w:val="006714AD"/>
    <w:rsid w:val="006758E7"/>
    <w:rsid w:val="006937E4"/>
    <w:rsid w:val="00695B0F"/>
    <w:rsid w:val="006A3B31"/>
    <w:rsid w:val="006B478D"/>
    <w:rsid w:val="006D1033"/>
    <w:rsid w:val="006E40AA"/>
    <w:rsid w:val="006E6CAF"/>
    <w:rsid w:val="00700A93"/>
    <w:rsid w:val="0070501C"/>
    <w:rsid w:val="007209FE"/>
    <w:rsid w:val="007458F1"/>
    <w:rsid w:val="00772355"/>
    <w:rsid w:val="007744BF"/>
    <w:rsid w:val="007754B8"/>
    <w:rsid w:val="007C156F"/>
    <w:rsid w:val="007C3273"/>
    <w:rsid w:val="00811DA0"/>
    <w:rsid w:val="0082547C"/>
    <w:rsid w:val="0083321E"/>
    <w:rsid w:val="00840A1F"/>
    <w:rsid w:val="008503FC"/>
    <w:rsid w:val="00855C7C"/>
    <w:rsid w:val="00860DEB"/>
    <w:rsid w:val="0087150F"/>
    <w:rsid w:val="0087344C"/>
    <w:rsid w:val="00891CC0"/>
    <w:rsid w:val="008A1B30"/>
    <w:rsid w:val="008A3908"/>
    <w:rsid w:val="008B1462"/>
    <w:rsid w:val="008C5F70"/>
    <w:rsid w:val="008D56D5"/>
    <w:rsid w:val="00900E9E"/>
    <w:rsid w:val="009012F0"/>
    <w:rsid w:val="0092317C"/>
    <w:rsid w:val="00925217"/>
    <w:rsid w:val="009267BE"/>
    <w:rsid w:val="00926DA2"/>
    <w:rsid w:val="009308A8"/>
    <w:rsid w:val="009402AC"/>
    <w:rsid w:val="00944A36"/>
    <w:rsid w:val="00954A59"/>
    <w:rsid w:val="00966049"/>
    <w:rsid w:val="00973644"/>
    <w:rsid w:val="0098632F"/>
    <w:rsid w:val="00986C0E"/>
    <w:rsid w:val="00997D66"/>
    <w:rsid w:val="009A1AD3"/>
    <w:rsid w:val="009C096E"/>
    <w:rsid w:val="009C27C6"/>
    <w:rsid w:val="009C5A19"/>
    <w:rsid w:val="009E6DE8"/>
    <w:rsid w:val="009F6821"/>
    <w:rsid w:val="00A24D76"/>
    <w:rsid w:val="00A27B04"/>
    <w:rsid w:val="00A63487"/>
    <w:rsid w:val="00A65AEA"/>
    <w:rsid w:val="00A86364"/>
    <w:rsid w:val="00A86F63"/>
    <w:rsid w:val="00AA16F3"/>
    <w:rsid w:val="00AA2D2D"/>
    <w:rsid w:val="00AB191A"/>
    <w:rsid w:val="00AE03AE"/>
    <w:rsid w:val="00B02D35"/>
    <w:rsid w:val="00B05BC2"/>
    <w:rsid w:val="00B12F85"/>
    <w:rsid w:val="00B25548"/>
    <w:rsid w:val="00B5457F"/>
    <w:rsid w:val="00B63EE5"/>
    <w:rsid w:val="00B66DB3"/>
    <w:rsid w:val="00B72B67"/>
    <w:rsid w:val="00B747DC"/>
    <w:rsid w:val="00B7602E"/>
    <w:rsid w:val="00B8005F"/>
    <w:rsid w:val="00B911ED"/>
    <w:rsid w:val="00BB3EBD"/>
    <w:rsid w:val="00BE7600"/>
    <w:rsid w:val="00BF5FC4"/>
    <w:rsid w:val="00BF6392"/>
    <w:rsid w:val="00C00F30"/>
    <w:rsid w:val="00C22CF8"/>
    <w:rsid w:val="00C3294B"/>
    <w:rsid w:val="00C46387"/>
    <w:rsid w:val="00C5177C"/>
    <w:rsid w:val="00C53920"/>
    <w:rsid w:val="00C55B8D"/>
    <w:rsid w:val="00C57B72"/>
    <w:rsid w:val="00C66B1B"/>
    <w:rsid w:val="00C80310"/>
    <w:rsid w:val="00C82701"/>
    <w:rsid w:val="00CA05D8"/>
    <w:rsid w:val="00CA0D80"/>
    <w:rsid w:val="00CA570C"/>
    <w:rsid w:val="00CC23FC"/>
    <w:rsid w:val="00CD5782"/>
    <w:rsid w:val="00CE0EF4"/>
    <w:rsid w:val="00CE0F02"/>
    <w:rsid w:val="00CE1EBE"/>
    <w:rsid w:val="00D03AF4"/>
    <w:rsid w:val="00D221F4"/>
    <w:rsid w:val="00D254F8"/>
    <w:rsid w:val="00D52743"/>
    <w:rsid w:val="00D54893"/>
    <w:rsid w:val="00D55077"/>
    <w:rsid w:val="00D575AC"/>
    <w:rsid w:val="00D678ED"/>
    <w:rsid w:val="00D70707"/>
    <w:rsid w:val="00D74CA3"/>
    <w:rsid w:val="00D76CA6"/>
    <w:rsid w:val="00D85E34"/>
    <w:rsid w:val="00DA12F2"/>
    <w:rsid w:val="00DA718D"/>
    <w:rsid w:val="00DB6DE5"/>
    <w:rsid w:val="00DC31BD"/>
    <w:rsid w:val="00DD5DD8"/>
    <w:rsid w:val="00DD72E0"/>
    <w:rsid w:val="00DE095E"/>
    <w:rsid w:val="00DF459E"/>
    <w:rsid w:val="00E065DC"/>
    <w:rsid w:val="00E262A4"/>
    <w:rsid w:val="00E31E52"/>
    <w:rsid w:val="00E33471"/>
    <w:rsid w:val="00E400F9"/>
    <w:rsid w:val="00E85E5A"/>
    <w:rsid w:val="00E918F5"/>
    <w:rsid w:val="00E95272"/>
    <w:rsid w:val="00EA45E4"/>
    <w:rsid w:val="00EB5BB9"/>
    <w:rsid w:val="00ED6E75"/>
    <w:rsid w:val="00F24FCA"/>
    <w:rsid w:val="00F276F0"/>
    <w:rsid w:val="00F40EE5"/>
    <w:rsid w:val="00F657DE"/>
    <w:rsid w:val="00F74659"/>
    <w:rsid w:val="00F74A90"/>
    <w:rsid w:val="00FC24CD"/>
    <w:rsid w:val="00FD2E28"/>
    <w:rsid w:val="00FD4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8DC69"/>
  <w15:docId w15:val="{1022F96D-EC81-49D9-8F4F-F44A0E0A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FA3"/>
    <w:rPr>
      <w:rFonts w:ascii="Arial" w:eastAsiaTheme="minorHAnsi" w:hAnsi="Arial" w:cs="Consolas"/>
      <w:sz w:val="22"/>
      <w:szCs w:val="21"/>
      <w:lang w:eastAsia="en-US"/>
    </w:rPr>
  </w:style>
  <w:style w:type="character" w:customStyle="1" w:styleId="PlainTextChar">
    <w:name w:val="Plain Text Char"/>
    <w:basedOn w:val="DefaultParagraphFont"/>
    <w:link w:val="PlainText"/>
    <w:uiPriority w:val="99"/>
    <w:rsid w:val="00010FA3"/>
    <w:rPr>
      <w:rFonts w:ascii="Arial" w:eastAsiaTheme="minorHAnsi" w:hAnsi="Arial" w:cs="Consolas"/>
      <w:sz w:val="22"/>
      <w:szCs w:val="21"/>
      <w:lang w:eastAsia="en-US"/>
    </w:rPr>
  </w:style>
  <w:style w:type="paragraph" w:styleId="ListParagraph">
    <w:name w:val="List Paragraph"/>
    <w:basedOn w:val="Normal"/>
    <w:uiPriority w:val="34"/>
    <w:qFormat/>
    <w:rsid w:val="00393998"/>
    <w:pPr>
      <w:ind w:left="720"/>
      <w:contextualSpacing/>
    </w:pPr>
  </w:style>
  <w:style w:type="paragraph" w:styleId="BalloonText">
    <w:name w:val="Balloon Text"/>
    <w:basedOn w:val="Normal"/>
    <w:link w:val="BalloonTextChar"/>
    <w:rsid w:val="0082547C"/>
    <w:rPr>
      <w:rFonts w:ascii="Tahoma" w:hAnsi="Tahoma" w:cs="Tahoma"/>
      <w:sz w:val="16"/>
      <w:szCs w:val="16"/>
    </w:rPr>
  </w:style>
  <w:style w:type="character" w:customStyle="1" w:styleId="BalloonTextChar">
    <w:name w:val="Balloon Text Char"/>
    <w:basedOn w:val="DefaultParagraphFont"/>
    <w:link w:val="BalloonText"/>
    <w:rsid w:val="0082547C"/>
    <w:rPr>
      <w:rFonts w:ascii="Tahoma" w:hAnsi="Tahoma" w:cs="Tahoma"/>
      <w:sz w:val="16"/>
      <w:szCs w:val="16"/>
    </w:rPr>
  </w:style>
  <w:style w:type="character" w:styleId="CommentReference">
    <w:name w:val="annotation reference"/>
    <w:basedOn w:val="DefaultParagraphFont"/>
    <w:rsid w:val="00C3294B"/>
    <w:rPr>
      <w:sz w:val="16"/>
      <w:szCs w:val="16"/>
    </w:rPr>
  </w:style>
  <w:style w:type="paragraph" w:styleId="CommentText">
    <w:name w:val="annotation text"/>
    <w:basedOn w:val="Normal"/>
    <w:link w:val="CommentTextChar"/>
    <w:rsid w:val="00C3294B"/>
    <w:rPr>
      <w:sz w:val="20"/>
      <w:szCs w:val="20"/>
    </w:rPr>
  </w:style>
  <w:style w:type="character" w:customStyle="1" w:styleId="CommentTextChar">
    <w:name w:val="Comment Text Char"/>
    <w:basedOn w:val="DefaultParagraphFont"/>
    <w:link w:val="CommentText"/>
    <w:rsid w:val="00C3294B"/>
  </w:style>
  <w:style w:type="paragraph" w:styleId="CommentSubject">
    <w:name w:val="annotation subject"/>
    <w:basedOn w:val="CommentText"/>
    <w:next w:val="CommentText"/>
    <w:link w:val="CommentSubjectChar"/>
    <w:rsid w:val="00C3294B"/>
    <w:rPr>
      <w:b/>
      <w:bCs/>
    </w:rPr>
  </w:style>
  <w:style w:type="character" w:customStyle="1" w:styleId="CommentSubjectChar">
    <w:name w:val="Comment Subject Char"/>
    <w:basedOn w:val="CommentTextChar"/>
    <w:link w:val="CommentSubject"/>
    <w:rsid w:val="00C3294B"/>
    <w:rPr>
      <w:b/>
      <w:bCs/>
    </w:rPr>
  </w:style>
  <w:style w:type="paragraph" w:styleId="Header">
    <w:name w:val="header"/>
    <w:basedOn w:val="Normal"/>
    <w:link w:val="HeaderChar"/>
    <w:rsid w:val="0023228A"/>
    <w:pPr>
      <w:tabs>
        <w:tab w:val="center" w:pos="4513"/>
        <w:tab w:val="right" w:pos="9026"/>
      </w:tabs>
    </w:pPr>
  </w:style>
  <w:style w:type="character" w:customStyle="1" w:styleId="HeaderChar">
    <w:name w:val="Header Char"/>
    <w:basedOn w:val="DefaultParagraphFont"/>
    <w:link w:val="Header"/>
    <w:rsid w:val="0023228A"/>
    <w:rPr>
      <w:sz w:val="24"/>
      <w:szCs w:val="24"/>
    </w:rPr>
  </w:style>
  <w:style w:type="paragraph" w:styleId="Footer">
    <w:name w:val="footer"/>
    <w:basedOn w:val="Normal"/>
    <w:link w:val="FooterChar"/>
    <w:rsid w:val="0023228A"/>
    <w:pPr>
      <w:tabs>
        <w:tab w:val="center" w:pos="4513"/>
        <w:tab w:val="right" w:pos="9026"/>
      </w:tabs>
    </w:pPr>
  </w:style>
  <w:style w:type="character" w:customStyle="1" w:styleId="FooterChar">
    <w:name w:val="Footer Char"/>
    <w:basedOn w:val="DefaultParagraphFont"/>
    <w:link w:val="Footer"/>
    <w:rsid w:val="0023228A"/>
    <w:rPr>
      <w:sz w:val="24"/>
      <w:szCs w:val="24"/>
    </w:rPr>
  </w:style>
  <w:style w:type="character" w:styleId="Hyperlink">
    <w:name w:val="Hyperlink"/>
    <w:basedOn w:val="DefaultParagraphFont"/>
    <w:unhideWhenUsed/>
    <w:rsid w:val="00534B51"/>
    <w:rPr>
      <w:color w:val="0000FF" w:themeColor="hyperlink"/>
      <w:u w:val="single"/>
    </w:rPr>
  </w:style>
  <w:style w:type="paragraph" w:customStyle="1" w:styleId="MainText">
    <w:name w:val="Main Text"/>
    <w:basedOn w:val="Normal"/>
    <w:rsid w:val="00011A52"/>
    <w:pPr>
      <w:spacing w:line="280" w:lineRule="exact"/>
    </w:pPr>
    <w:rPr>
      <w:rFonts w:ascii="Frutiger 45 Light" w:hAnsi="Frutiger 45 Light"/>
      <w:sz w:val="22"/>
      <w:szCs w:val="20"/>
    </w:rPr>
  </w:style>
  <w:style w:type="paragraph" w:styleId="FootnoteText">
    <w:name w:val="footnote text"/>
    <w:basedOn w:val="Normal"/>
    <w:link w:val="FootnoteTextChar"/>
    <w:semiHidden/>
    <w:unhideWhenUsed/>
    <w:rsid w:val="004E7691"/>
    <w:rPr>
      <w:sz w:val="20"/>
      <w:szCs w:val="20"/>
    </w:rPr>
  </w:style>
  <w:style w:type="character" w:customStyle="1" w:styleId="FootnoteTextChar">
    <w:name w:val="Footnote Text Char"/>
    <w:basedOn w:val="DefaultParagraphFont"/>
    <w:link w:val="FootnoteText"/>
    <w:semiHidden/>
    <w:rsid w:val="004E7691"/>
  </w:style>
  <w:style w:type="character" w:styleId="FootnoteReference">
    <w:name w:val="footnote reference"/>
    <w:basedOn w:val="DefaultParagraphFont"/>
    <w:semiHidden/>
    <w:unhideWhenUsed/>
    <w:rsid w:val="004E7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35781">
      <w:bodyDiv w:val="1"/>
      <w:marLeft w:val="0"/>
      <w:marRight w:val="0"/>
      <w:marTop w:val="0"/>
      <w:marBottom w:val="0"/>
      <w:divBdr>
        <w:top w:val="none" w:sz="0" w:space="0" w:color="auto"/>
        <w:left w:val="none" w:sz="0" w:space="0" w:color="auto"/>
        <w:bottom w:val="none" w:sz="0" w:space="0" w:color="auto"/>
        <w:right w:val="none" w:sz="0" w:space="0" w:color="auto"/>
      </w:divBdr>
    </w:div>
    <w:div w:id="470828890">
      <w:bodyDiv w:val="1"/>
      <w:marLeft w:val="0"/>
      <w:marRight w:val="0"/>
      <w:marTop w:val="0"/>
      <w:marBottom w:val="0"/>
      <w:divBdr>
        <w:top w:val="none" w:sz="0" w:space="0" w:color="auto"/>
        <w:left w:val="none" w:sz="0" w:space="0" w:color="auto"/>
        <w:bottom w:val="none" w:sz="0" w:space="0" w:color="auto"/>
        <w:right w:val="none" w:sz="0" w:space="0" w:color="auto"/>
      </w:divBdr>
    </w:div>
    <w:div w:id="960527535">
      <w:bodyDiv w:val="1"/>
      <w:marLeft w:val="0"/>
      <w:marRight w:val="0"/>
      <w:marTop w:val="0"/>
      <w:marBottom w:val="0"/>
      <w:divBdr>
        <w:top w:val="none" w:sz="0" w:space="0" w:color="auto"/>
        <w:left w:val="none" w:sz="0" w:space="0" w:color="auto"/>
        <w:bottom w:val="none" w:sz="0" w:space="0" w:color="auto"/>
        <w:right w:val="none" w:sz="0" w:space="0" w:color="auto"/>
      </w:divBdr>
    </w:div>
    <w:div w:id="982613749">
      <w:bodyDiv w:val="1"/>
      <w:marLeft w:val="0"/>
      <w:marRight w:val="0"/>
      <w:marTop w:val="0"/>
      <w:marBottom w:val="0"/>
      <w:divBdr>
        <w:top w:val="none" w:sz="0" w:space="0" w:color="auto"/>
        <w:left w:val="none" w:sz="0" w:space="0" w:color="auto"/>
        <w:bottom w:val="none" w:sz="0" w:space="0" w:color="auto"/>
        <w:right w:val="none" w:sz="0" w:space="0" w:color="auto"/>
      </w:divBdr>
    </w:div>
    <w:div w:id="1054038001">
      <w:bodyDiv w:val="1"/>
      <w:marLeft w:val="0"/>
      <w:marRight w:val="0"/>
      <w:marTop w:val="0"/>
      <w:marBottom w:val="0"/>
      <w:divBdr>
        <w:top w:val="none" w:sz="0" w:space="0" w:color="auto"/>
        <w:left w:val="none" w:sz="0" w:space="0" w:color="auto"/>
        <w:bottom w:val="none" w:sz="0" w:space="0" w:color="auto"/>
        <w:right w:val="none" w:sz="0" w:space="0" w:color="auto"/>
      </w:divBdr>
    </w:div>
    <w:div w:id="1504081915">
      <w:bodyDiv w:val="1"/>
      <w:marLeft w:val="0"/>
      <w:marRight w:val="0"/>
      <w:marTop w:val="0"/>
      <w:marBottom w:val="0"/>
      <w:divBdr>
        <w:top w:val="none" w:sz="0" w:space="0" w:color="auto"/>
        <w:left w:val="none" w:sz="0" w:space="0" w:color="auto"/>
        <w:bottom w:val="none" w:sz="0" w:space="0" w:color="auto"/>
        <w:right w:val="none" w:sz="0" w:space="0" w:color="auto"/>
      </w:divBdr>
    </w:div>
    <w:div w:id="1740590944">
      <w:bodyDiv w:val="1"/>
      <w:marLeft w:val="0"/>
      <w:marRight w:val="0"/>
      <w:marTop w:val="0"/>
      <w:marBottom w:val="0"/>
      <w:divBdr>
        <w:top w:val="none" w:sz="0" w:space="0" w:color="auto"/>
        <w:left w:val="none" w:sz="0" w:space="0" w:color="auto"/>
        <w:bottom w:val="none" w:sz="0" w:space="0" w:color="auto"/>
        <w:right w:val="none" w:sz="0" w:space="0" w:color="auto"/>
      </w:divBdr>
    </w:div>
    <w:div w:id="1953896941">
      <w:bodyDiv w:val="1"/>
      <w:marLeft w:val="0"/>
      <w:marRight w:val="0"/>
      <w:marTop w:val="0"/>
      <w:marBottom w:val="0"/>
      <w:divBdr>
        <w:top w:val="none" w:sz="0" w:space="0" w:color="auto"/>
        <w:left w:val="none" w:sz="0" w:space="0" w:color="auto"/>
        <w:bottom w:val="none" w:sz="0" w:space="0" w:color="auto"/>
        <w:right w:val="none" w:sz="0" w:space="0" w:color="auto"/>
      </w:divBdr>
    </w:div>
    <w:div w:id="20511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vices.parliament.uk/bills/2016-17/investigatorypowers/stage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cal.gov.uk/documents/10180/6869714/Remodelling+public+protection+-+a+discussion+paper+(2).pdf/090c82df-1e30-47f3-adc9-7cffe4e7603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web/guest/briefings-and-responses/-/journal_content/56/10180/%207742805/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2FD1AB301B6489897BA692963207E" ma:contentTypeVersion="0" ma:contentTypeDescription="Create a new document." ma:contentTypeScope="" ma:versionID="30b87ef93100329462e314e877fbead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TaxKeywordTaxHTField xmlns="1c8a0e75-f4bc-4eb4-8ed0-578eaea9e1ca">
      <Terms xmlns="http://schemas.microsoft.com/office/infopath/2007/PartnerControls"/>
    </TaxKeywordTaxHTField>
    <Folder xmlns="1c8a0e75-f4bc-4eb4-8ed0-578eaea9e1ca">SSCB papers</Fol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A409-36B9-4DDA-BF1D-655F60EF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C06B4-FD4D-416A-9F52-13E0922C4013}">
  <ds:schemaRefs>
    <ds:schemaRef ds:uri="http://schemas.microsoft.com/office/2006/documentManagement/types"/>
    <ds:schemaRef ds:uri="http://purl.org/dc/terms/"/>
    <ds:schemaRef ds:uri="http://purl.org/dc/elements/1.1/"/>
    <ds:schemaRef ds:uri="1c8a0e75-f4bc-4eb4-8ed0-578eaea9e1ca"/>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C37C73-6C83-4B03-8BE0-924F4F2B7FF2}">
  <ds:schemaRefs>
    <ds:schemaRef ds:uri="http://schemas.microsoft.com/sharepoint/v3/contenttype/forms"/>
  </ds:schemaRefs>
</ds:datastoreItem>
</file>

<file path=customXml/itemProps4.xml><?xml version="1.0" encoding="utf-8"?>
<ds:datastoreItem xmlns:ds="http://schemas.openxmlformats.org/officeDocument/2006/customXml" ds:itemID="{9FE4A7E7-6BBA-41D4-B0A1-B85816F7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5EC0E0B0</Template>
  <TotalTime>121</TotalTime>
  <Pages>10</Pages>
  <Words>3522</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Hughes</dc:creator>
  <cp:lastModifiedBy>Ciaran Whitehead</cp:lastModifiedBy>
  <cp:revision>12</cp:revision>
  <cp:lastPrinted>2015-08-17T14:59:00Z</cp:lastPrinted>
  <dcterms:created xsi:type="dcterms:W3CDTF">2016-08-30T15:06:00Z</dcterms:created>
  <dcterms:modified xsi:type="dcterms:W3CDTF">2016-09-05T15:24:00Z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0x01010087D2FD1AB301B6489897BA692963207E</vt:lpwstr>
  </property>
  <property fmtid="{D5CDD505-2E9C-101B-9397-08002B2CF9AE}" pid="3" name="TaxKeyword">
    <vt:lpwstr/>
  </property>
  <property fmtid="{D5CDD505-2E9C-101B-9397-08002B2CF9AE}" pid="4" name="WorkflowChangePath">
    <vt:lpwstr>0b6503a9-28cf-4649-bf13-cf07c85905e0,3;0b6503a9-28cf-4649-bf13-cf07c85905e0,5;0b6503a9-28cf-4649-bf13-cf07c85905e0,2;0b6503a9-28cf-4649-bf13-cf07c85905e0,3;0b6503a9-28cf-4649-bf13-cf07c85905e0,2;0b6503a9-28cf-4649-bf13-cf07c85905e0,5;</vt:lpwstr>
  </property>
</Properties>
</file>